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绍兴市口腔医院关于影像归档和通信系统建设项目</w:t>
      </w: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rPr>
          <w:rFonts w:ascii="隶书" w:eastAsia="隶书"/>
          <w:b/>
          <w:color w:val="auto"/>
          <w:sz w:val="28"/>
          <w:szCs w:val="28"/>
          <w:highlight w:val="none"/>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ZJFY-20230013</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绍兴市口腔医院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12"/>
                <w:w w:val="93"/>
                <w:kern w:val="0"/>
                <w:sz w:val="28"/>
                <w:szCs w:val="28"/>
                <w:highlight w:val="none"/>
              </w:rPr>
              <w:t>采购代理机</w:t>
            </w:r>
            <w:r>
              <w:rPr>
                <w:rFonts w:hint="eastAsia" w:ascii="隶书" w:hAnsi="宋体" w:eastAsia="隶书"/>
                <w:color w:val="auto"/>
                <w:w w:val="93"/>
                <w:kern w:val="0"/>
                <w:sz w:val="28"/>
                <w:szCs w:val="28"/>
                <w:highlight w:val="none"/>
              </w:rPr>
              <w:t>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浙江泛亚工程咨询有限公司</w:t>
            </w:r>
          </w:p>
        </w:tc>
      </w:tr>
      <w:tr>
        <w:tblPrEx>
          <w:tblCellMar>
            <w:top w:w="0" w:type="dxa"/>
            <w:left w:w="108" w:type="dxa"/>
            <w:bottom w:w="0" w:type="dxa"/>
            <w:right w:w="108" w:type="dxa"/>
          </w:tblCellMar>
        </w:tblPrEx>
        <w:trPr>
          <w:trHeight w:val="562" w:hRule="atLeast"/>
          <w:jc w:val="center"/>
        </w:trPr>
        <w:tc>
          <w:tcPr>
            <w:tcW w:w="2356" w:type="dxa"/>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vAlign w:val="center"/>
          </w:tcPr>
          <w:p>
            <w:pPr>
              <w:spacing w:after="100" w:afterAutospacing="1" w:line="440" w:lineRule="exact"/>
              <w:jc w:val="both"/>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二零二</w:t>
            </w:r>
            <w:r>
              <w:rPr>
                <w:rFonts w:hint="eastAsia" w:ascii="隶书" w:eastAsia="隶书"/>
                <w:color w:val="auto"/>
                <w:sz w:val="28"/>
                <w:szCs w:val="28"/>
                <w:highlight w:val="none"/>
                <w:lang w:val="en-US" w:eastAsia="zh-CN"/>
              </w:rPr>
              <w:t>三</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六</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43"/>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color w:val="auto"/>
                <w:highlight w:val="none"/>
              </w:rPr>
            </w:pPr>
            <w:r>
              <w:rPr>
                <w:rFonts w:ascii="仿宋_GB2312" w:hAnsi="新宋体" w:eastAsia="仿宋_GB2312"/>
                <w:color w:val="auto"/>
                <w:highlight w:val="none"/>
              </w:rPr>
              <w:br w:type="page"/>
            </w:r>
          </w:p>
          <w:tbl>
            <w:tblPr>
              <w:tblStyle w:val="43"/>
              <w:tblW w:w="8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8130" w:type="dxa"/>
                </w:tcPr>
                <w:p>
                  <w:pPr>
                    <w:pStyle w:val="86"/>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86"/>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lang w:eastAsia="zh-CN"/>
                    </w:rPr>
                    <w:t>绍兴市口腔医院关于影像归档和通信系统建设项目</w:t>
                  </w:r>
                  <w:r>
                    <w:rPr>
                      <w:rFonts w:hint="eastAsia" w:ascii="仿宋_GB2312" w:hAnsi="新宋体" w:eastAsia="仿宋_GB2312"/>
                      <w:color w:val="auto"/>
                      <w:szCs w:val="24"/>
                      <w:highlight w:val="none"/>
                    </w:rPr>
                    <w:t>的潜在投标人应在</w:t>
                  </w:r>
                  <w:r>
                    <w:rPr>
                      <w:rStyle w:val="281"/>
                      <w:rFonts w:ascii="仿宋" w:hAnsi="仿宋"/>
                      <w:color w:val="auto"/>
                      <w:sz w:val="27"/>
                      <w:szCs w:val="27"/>
                      <w:highlight w:val="none"/>
                    </w:rPr>
                    <w:t>https://www.zcygov.cn</w:t>
                  </w:r>
                  <w:r>
                    <w:rPr>
                      <w:rFonts w:hint="eastAsia" w:ascii="仿宋_GB2312" w:hAnsi="新宋体" w:eastAsia="仿宋_GB2312"/>
                      <w:color w:val="auto"/>
                      <w:szCs w:val="24"/>
                      <w:highlight w:val="none"/>
                    </w:rPr>
                    <w:t>获取（下载）招标文件，并于202</w:t>
                  </w:r>
                  <w:r>
                    <w:rPr>
                      <w:rFonts w:hint="eastAsia" w:ascii="仿宋_GB2312" w:hAnsi="新宋体" w:eastAsia="仿宋_GB2312"/>
                      <w:color w:val="auto"/>
                      <w:szCs w:val="24"/>
                      <w:highlight w:val="none"/>
                      <w:lang w:val="en-US" w:eastAsia="zh-CN"/>
                    </w:rPr>
                    <w:t>3</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日 14:30（北京时间）前递交（上传）投标文件。</w:t>
                  </w:r>
                </w:p>
              </w:tc>
            </w:tr>
          </w:tbl>
          <w:p>
            <w:pPr>
              <w:pStyle w:val="86"/>
              <w:spacing w:afterLines="0" w:line="360" w:lineRule="auto"/>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一、项目基本情况</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项目编号：</w:t>
            </w:r>
            <w:r>
              <w:rPr>
                <w:rFonts w:hint="eastAsia" w:ascii="仿宋_GB2312" w:hAnsi="新宋体" w:eastAsia="仿宋_GB2312"/>
                <w:color w:val="auto"/>
                <w:szCs w:val="24"/>
                <w:highlight w:val="none"/>
                <w:lang w:eastAsia="zh-CN"/>
              </w:rPr>
              <w:t>ZJFY-20230013</w:t>
            </w:r>
          </w:p>
          <w:p>
            <w:pPr>
              <w:pStyle w:val="86"/>
              <w:spacing w:afterLines="0" w:line="360" w:lineRule="auto"/>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项目名称：</w:t>
            </w:r>
            <w:r>
              <w:rPr>
                <w:rFonts w:hint="eastAsia" w:ascii="仿宋_GB2312" w:hAnsi="新宋体" w:eastAsia="仿宋_GB2312"/>
                <w:color w:val="auto"/>
                <w:szCs w:val="24"/>
                <w:highlight w:val="none"/>
                <w:lang w:eastAsia="zh-CN"/>
              </w:rPr>
              <w:t>绍兴市口腔医院关于影像归档和通信系统建设项目</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采购方式：公开招标</w:t>
            </w:r>
          </w:p>
          <w:p>
            <w:pPr>
              <w:pStyle w:val="86"/>
              <w:spacing w:afterLines="0" w:line="360" w:lineRule="auto"/>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val="en-US" w:eastAsia="zh-CN"/>
              </w:rPr>
              <w:t>75</w:t>
            </w:r>
            <w:r>
              <w:rPr>
                <w:rFonts w:hint="eastAsia" w:ascii="仿宋_GB2312" w:hAnsi="新宋体" w:eastAsia="仿宋_GB2312"/>
                <w:color w:val="auto"/>
                <w:szCs w:val="24"/>
                <w:highlight w:val="none"/>
                <w:lang w:eastAsia="zh-CN"/>
              </w:rPr>
              <w:t>0000.00</w:t>
            </w:r>
          </w:p>
          <w:p>
            <w:pPr>
              <w:pStyle w:val="86"/>
              <w:spacing w:afterLines="0" w:line="360" w:lineRule="auto"/>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最高限价（元）：</w:t>
            </w:r>
            <w:r>
              <w:rPr>
                <w:rFonts w:hint="eastAsia" w:ascii="仿宋_GB2312" w:hAnsi="新宋体" w:eastAsia="仿宋_GB2312"/>
                <w:color w:val="auto"/>
                <w:szCs w:val="24"/>
                <w:highlight w:val="none"/>
                <w:lang w:val="en-US" w:eastAsia="zh-CN"/>
              </w:rPr>
              <w:t>75</w:t>
            </w:r>
            <w:r>
              <w:rPr>
                <w:rFonts w:hint="eastAsia" w:ascii="仿宋_GB2312" w:hAnsi="新宋体" w:eastAsia="仿宋_GB2312"/>
                <w:color w:val="auto"/>
                <w:szCs w:val="24"/>
                <w:highlight w:val="none"/>
                <w:lang w:eastAsia="zh-CN"/>
              </w:rPr>
              <w:t>0000.00</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p>
          <w:p>
            <w:pPr>
              <w:pStyle w:val="86"/>
              <w:spacing w:afterLines="0" w:line="360" w:lineRule="auto"/>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标项名称: </w:t>
            </w:r>
            <w:r>
              <w:rPr>
                <w:rFonts w:hint="eastAsia" w:ascii="仿宋_GB2312" w:hAnsi="新宋体" w:eastAsia="仿宋_GB2312"/>
                <w:color w:val="auto"/>
                <w:szCs w:val="24"/>
                <w:highlight w:val="none"/>
                <w:lang w:eastAsia="zh-CN"/>
              </w:rPr>
              <w:t>绍兴市口腔医院关于影像归档和通信系统建设项目</w:t>
            </w:r>
          </w:p>
          <w:p>
            <w:pPr>
              <w:pStyle w:val="86"/>
              <w:spacing w:afterLines="0" w:line="360" w:lineRule="auto"/>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p>
          <w:p>
            <w:pPr>
              <w:pStyle w:val="86"/>
              <w:spacing w:afterLines="0" w:line="360" w:lineRule="auto"/>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val="en-US" w:eastAsia="zh-CN"/>
              </w:rPr>
              <w:t>75</w:t>
            </w:r>
            <w:r>
              <w:rPr>
                <w:rFonts w:hint="eastAsia" w:ascii="仿宋_GB2312" w:hAnsi="新宋体" w:eastAsia="仿宋_GB2312"/>
                <w:color w:val="auto"/>
                <w:szCs w:val="24"/>
                <w:highlight w:val="none"/>
                <w:lang w:eastAsia="zh-CN"/>
              </w:rPr>
              <w:t>0000.00</w:t>
            </w:r>
          </w:p>
          <w:p>
            <w:pPr>
              <w:pStyle w:val="86"/>
              <w:spacing w:afterLines="0" w:line="360" w:lineRule="auto"/>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简要规格描述或项目基本概况介绍、用途：详见采购文件</w:t>
            </w:r>
            <w:r>
              <w:rPr>
                <w:rFonts w:ascii="仿宋_GB2312" w:hAnsi="新宋体" w:eastAsia="仿宋_GB2312"/>
                <w:color w:val="auto"/>
                <w:szCs w:val="24"/>
                <w:highlight w:val="none"/>
              </w:rPr>
              <w:t> </w:t>
            </w:r>
          </w:p>
          <w:p>
            <w:pPr>
              <w:pStyle w:val="86"/>
              <w:spacing w:afterLines="0" w:line="360" w:lineRule="auto"/>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备注：无</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合同履约期限：按双方合同约定条款执行。</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本项目（是）接受联合体投标。</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二、申请人的资格要求：</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86"/>
              <w:spacing w:afterLines="0" w:line="360" w:lineRule="auto"/>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仿宋" w:eastAsia="仿宋_GB2312" w:cs="Arial"/>
                    <w:color w:val="auto"/>
                    <w:sz w:val="21"/>
                    <w:szCs w:val="21"/>
                    <w:highlight w:val="none"/>
                  </w:rPr>
                  <w:t xml:space="preserve"> </w:t>
                </w:r>
                <w:r>
                  <w:rPr>
                    <w:rFonts w:ascii="MS Gothic" w:hAnsi="MS Gothic" w:eastAsia="MS Gothic" w:cs="Arial"/>
                    <w:color w:val="auto"/>
                    <w:highlight w:val="none"/>
                  </w:rPr>
                  <w:t>☐</w:t>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3289462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highlight w:val="none"/>
                  </w:rPr>
                  <w:sym w:font="Wingdings" w:char="00FE"/>
                </w:r>
              </w:sdtContent>
            </w:sdt>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2365989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3289462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highlight w:val="none"/>
                      </w:rPr>
                      <w:sym w:font="Wingdings" w:char="00A8"/>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46959412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要求以联合体形式参加，提供联合协议和中小企业声明函，联合协议中中小企业合同金额应当达到%，小微企业合同金额应当达到%;</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要求合同分包，提供分包意向协议和中小企业声明函，分包意向协议中中小企业合同金额应当达到达到% ，小微企业合同金额应当达到%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三、获取招标文件</w:t>
            </w:r>
            <w:r>
              <w:rPr>
                <w:rFonts w:ascii="仿宋_GB2312" w:hAnsi="新宋体" w:eastAsia="仿宋_GB2312"/>
                <w:color w:val="auto"/>
                <w:szCs w:val="24"/>
                <w:highlight w:val="none"/>
              </w:rPr>
              <w:t> </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时间：/至202</w:t>
            </w:r>
            <w:r>
              <w:rPr>
                <w:rFonts w:hint="eastAsia" w:ascii="仿宋_GB2312" w:hAnsi="新宋体" w:eastAsia="仿宋_GB2312"/>
                <w:color w:val="auto"/>
                <w:szCs w:val="24"/>
                <w:highlight w:val="none"/>
                <w:lang w:val="en-US" w:eastAsia="zh-CN"/>
              </w:rPr>
              <w:t>3</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日，每天上午00:00至12:00，下午12:00至23:59（北京时间，线上获取法定节假日均可，线下获取文件法定节假日除外）</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地点（网址）：</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售价（元）：0</w:t>
            </w:r>
            <w:r>
              <w:rPr>
                <w:rFonts w:ascii="仿宋_GB2312" w:hAnsi="新宋体" w:eastAsia="仿宋_GB2312"/>
                <w:color w:val="auto"/>
                <w:szCs w:val="24"/>
                <w:highlight w:val="none"/>
              </w:rPr>
              <w:t> </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四、提交投标文件截止时间、开标时间和地点</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提交投标文件截止时间：202</w:t>
            </w:r>
            <w:r>
              <w:rPr>
                <w:rFonts w:hint="eastAsia" w:ascii="仿宋_GB2312" w:hAnsi="新宋体" w:eastAsia="仿宋_GB2312"/>
                <w:color w:val="auto"/>
                <w:szCs w:val="24"/>
                <w:highlight w:val="none"/>
                <w:lang w:val="en-US" w:eastAsia="zh-CN"/>
              </w:rPr>
              <w:t>3</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日14:30（北京时间）</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开标时间：202</w:t>
            </w:r>
            <w:r>
              <w:rPr>
                <w:rFonts w:hint="eastAsia" w:ascii="仿宋_GB2312" w:hAnsi="新宋体" w:eastAsia="仿宋_GB2312"/>
                <w:color w:val="auto"/>
                <w:szCs w:val="24"/>
                <w:highlight w:val="none"/>
                <w:lang w:val="en-US" w:eastAsia="zh-CN"/>
              </w:rPr>
              <w:t>3</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日14:30（北京时间）</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开标地点（网址）：绍兴市越城区稽山街道天姥路5号2幢2楼201室，在政府采购云平台（www.zcygov.cn）上开启响应文件。</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五、公告期限</w:t>
            </w:r>
            <w:r>
              <w:rPr>
                <w:rFonts w:ascii="仿宋_GB2312" w:hAnsi="新宋体" w:eastAsia="仿宋_GB2312"/>
                <w:color w:val="auto"/>
                <w:szCs w:val="24"/>
                <w:highlight w:val="none"/>
              </w:rPr>
              <w:t> </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六、其他补充事宜</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，视为投标文件撤回；⑩具体操作指南：详见政采云平台“服务中心-帮助文档-项目采购-操作流程-电子招投标-政府采购项目电子交易管理操作指南-供应商”。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七、对本次采购提出询问、质疑、投诉，请按以下方式联系</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1.采购人信息</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名称：</w:t>
            </w:r>
            <w:r>
              <w:rPr>
                <w:rFonts w:hint="eastAsia" w:ascii="仿宋_GB2312" w:hAnsi="仿宋" w:eastAsia="仿宋_GB2312" w:cs="仿宋_GB2312"/>
                <w:color w:val="auto"/>
                <w:highlight w:val="none"/>
                <w:lang w:eastAsia="zh-CN"/>
              </w:rPr>
              <w:t>绍兴市口腔医院</w:t>
            </w:r>
            <w:r>
              <w:rPr>
                <w:rFonts w:hint="eastAsia" w:ascii="仿宋_GB2312" w:hAnsi="仿宋" w:eastAsia="仿宋_GB2312" w:cs="仿宋_GB2312"/>
                <w:color w:val="auto"/>
                <w:highlight w:val="none"/>
              </w:rPr>
              <w:t>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地址：</w:t>
            </w:r>
            <w:r>
              <w:rPr>
                <w:rFonts w:hint="eastAsia" w:ascii="仿宋_GB2312" w:hAnsi="新宋体" w:eastAsia="仿宋_GB2312"/>
                <w:color w:val="auto"/>
                <w:szCs w:val="24"/>
                <w:highlight w:val="none"/>
                <w:lang w:val="en-US" w:eastAsia="zh-CN"/>
              </w:rPr>
              <w:t>绍兴市延安东路399号</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传真：/</w:t>
            </w:r>
          </w:p>
          <w:p>
            <w:pPr>
              <w:pStyle w:val="86"/>
              <w:spacing w:afterLines="0" w:line="360" w:lineRule="auto"/>
              <w:ind w:firstLine="480"/>
              <w:rPr>
                <w:rFonts w:hint="default" w:ascii="仿宋_GB2312" w:hAnsi="仿宋" w:eastAsia="仿宋_GB2312" w:cs="仿宋_GB2312"/>
                <w:color w:val="auto"/>
                <w:highlight w:val="none"/>
                <w:lang w:val="en-US" w:eastAsia="zh-CN"/>
              </w:rPr>
            </w:pPr>
            <w:r>
              <w:rPr>
                <w:rFonts w:hint="eastAsia" w:ascii="仿宋_GB2312" w:hAnsi="仿宋" w:eastAsia="仿宋_GB2312" w:cs="仿宋_GB2312"/>
                <w:color w:val="auto"/>
                <w:highlight w:val="none"/>
              </w:rPr>
              <w:t>项目联系人（询问）： </w:t>
            </w:r>
            <w:r>
              <w:rPr>
                <w:rFonts w:hint="eastAsia" w:ascii="仿宋_GB2312" w:hAnsi="仿宋" w:eastAsia="仿宋_GB2312" w:cs="仿宋_GB2312"/>
                <w:color w:val="auto"/>
                <w:highlight w:val="none"/>
                <w:lang w:val="en-US" w:eastAsia="zh-CN"/>
              </w:rPr>
              <w:t>王佳南</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项目联系方式（询问）：</w:t>
            </w:r>
            <w:r>
              <w:rPr>
                <w:rFonts w:hint="eastAsia" w:ascii="仿宋_GB2312" w:hAnsi="新宋体" w:eastAsia="仿宋_GB2312"/>
                <w:color w:val="auto"/>
                <w:szCs w:val="24"/>
                <w:highlight w:val="none"/>
              </w:rPr>
              <w:t>0575-88551156</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质疑联系人： </w:t>
            </w:r>
            <w:r>
              <w:rPr>
                <w:rFonts w:hint="eastAsia" w:ascii="仿宋_GB2312" w:hAnsi="新宋体" w:eastAsia="仿宋_GB2312"/>
                <w:color w:val="auto"/>
                <w:szCs w:val="24"/>
                <w:highlight w:val="none"/>
                <w:lang w:val="en-US" w:eastAsia="zh-CN"/>
              </w:rPr>
              <w:t>毛宇昕</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质疑联系方式：</w:t>
            </w:r>
            <w:r>
              <w:rPr>
                <w:rFonts w:hint="eastAsia" w:ascii="仿宋_GB2312" w:hAnsi="新宋体" w:eastAsia="仿宋_GB2312"/>
                <w:color w:val="auto"/>
                <w:szCs w:val="24"/>
                <w:highlight w:val="none"/>
              </w:rPr>
              <w:t>0575-88551156</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2.采购代理机构信息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名称：浙江泛亚工程咨询有限公司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地址：绍兴市越城区稽山街道天姥路5号2幢2楼201室</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传真：/</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项目联系人（询问）：王</w:t>
            </w:r>
            <w:r>
              <w:rPr>
                <w:rFonts w:hint="eastAsia" w:ascii="仿宋_GB2312" w:hAnsi="仿宋" w:eastAsia="仿宋_GB2312" w:cs="仿宋_GB2312"/>
                <w:color w:val="auto"/>
                <w:highlight w:val="none"/>
                <w:lang w:val="en-US" w:eastAsia="zh-CN"/>
              </w:rPr>
              <w:t>伟</w:t>
            </w:r>
            <w:r>
              <w:rPr>
                <w:rFonts w:hint="eastAsia" w:ascii="仿宋_GB2312" w:hAnsi="仿宋" w:eastAsia="仿宋_GB2312" w:cs="仿宋_GB2312"/>
                <w:color w:val="auto"/>
                <w:highlight w:val="none"/>
              </w:rPr>
              <w:t>      </w:t>
            </w:r>
          </w:p>
          <w:p>
            <w:pPr>
              <w:pStyle w:val="86"/>
              <w:spacing w:afterLines="0" w:line="360" w:lineRule="auto"/>
              <w:ind w:firstLine="480"/>
              <w:rPr>
                <w:rFonts w:hint="default" w:ascii="仿宋_GB2312" w:hAnsi="仿宋" w:eastAsia="仿宋_GB2312" w:cs="仿宋_GB2312"/>
                <w:color w:val="auto"/>
                <w:highlight w:val="none"/>
                <w:lang w:val="en-US" w:eastAsia="zh-CN"/>
              </w:rPr>
            </w:pPr>
            <w:r>
              <w:rPr>
                <w:rFonts w:hint="eastAsia" w:ascii="仿宋_GB2312" w:hAnsi="仿宋" w:eastAsia="仿宋_GB2312" w:cs="仿宋_GB2312"/>
                <w:color w:val="auto"/>
                <w:highlight w:val="none"/>
              </w:rPr>
              <w:t>项目联系方式（询问）：</w:t>
            </w:r>
            <w:r>
              <w:rPr>
                <w:rFonts w:hint="eastAsia" w:ascii="仿宋_GB2312" w:hAnsi="仿宋" w:eastAsia="仿宋_GB2312" w:cs="仿宋_GB2312"/>
                <w:color w:val="auto"/>
                <w:highlight w:val="none"/>
                <w:lang w:val="en-US" w:eastAsia="zh-CN"/>
              </w:rPr>
              <w:t>13858435067</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质疑联系人：丁燕华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质疑联系方式：</w:t>
            </w:r>
            <w:r>
              <w:rPr>
                <w:rFonts w:hint="eastAsia" w:ascii="仿宋_GB2312" w:hAnsi="仿宋" w:eastAsia="仿宋_GB2312" w:cs="仿宋_GB2312"/>
                <w:color w:val="auto"/>
                <w:highlight w:val="none"/>
                <w:lang w:val="en-US" w:eastAsia="zh-CN"/>
              </w:rPr>
              <w:t>18258004530</w:t>
            </w:r>
            <w:r>
              <w:rPr>
                <w:rFonts w:hint="eastAsia" w:ascii="仿宋_GB2312" w:hAnsi="仿宋" w:eastAsia="仿宋_GB2312" w:cs="仿宋_GB2312"/>
                <w:color w:val="auto"/>
                <w:highlight w:val="none"/>
              </w:rPr>
              <w:t>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3.同级政府采购监督管理部门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名称：绍兴市财政局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地址：绍兴市越城区凤林西路151号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传真：</w:t>
            </w:r>
            <w:r>
              <w:rPr>
                <w:rFonts w:hint="eastAsia" w:ascii="仿宋_GB2312" w:hAnsi="新宋体" w:eastAsia="仿宋_GB2312"/>
                <w:color w:val="auto"/>
                <w:szCs w:val="24"/>
                <w:highlight w:val="none"/>
              </w:rPr>
              <w:t>0575-85209</w:t>
            </w:r>
            <w:r>
              <w:rPr>
                <w:rFonts w:hint="eastAsia" w:ascii="仿宋_GB2312" w:hAnsi="新宋体" w:eastAsia="仿宋_GB2312"/>
                <w:color w:val="auto"/>
                <w:szCs w:val="24"/>
                <w:highlight w:val="none"/>
                <w:lang w:val="en-US" w:eastAsia="zh-CN"/>
              </w:rPr>
              <w:t>806</w:t>
            </w:r>
            <w:r>
              <w:rPr>
                <w:rFonts w:hint="eastAsia" w:ascii="仿宋_GB2312" w:hAnsi="仿宋" w:eastAsia="仿宋_GB2312" w:cs="仿宋_GB2312"/>
                <w:color w:val="auto"/>
                <w:highlight w:val="none"/>
              </w:rPr>
              <w:t> </w:t>
            </w:r>
          </w:p>
          <w:p>
            <w:pPr>
              <w:pStyle w:val="86"/>
              <w:spacing w:afterLines="0" w:line="360" w:lineRule="auto"/>
              <w:ind w:firstLine="480"/>
              <w:rPr>
                <w:rFonts w:ascii="仿宋_GB2312" w:hAnsi="仿宋" w:eastAsia="仿宋_GB2312" w:cs="仿宋_GB2312"/>
                <w:color w:val="auto"/>
                <w:highlight w:val="none"/>
              </w:rPr>
            </w:pPr>
            <w:r>
              <w:rPr>
                <w:rFonts w:hint="eastAsia" w:ascii="仿宋_GB2312" w:hAnsi="仿宋" w:eastAsia="仿宋_GB2312" w:cs="仿宋_GB2312"/>
                <w:color w:val="auto"/>
                <w:highlight w:val="none"/>
              </w:rPr>
              <w:t>联系人 ：吴滟      </w:t>
            </w:r>
          </w:p>
          <w:p>
            <w:pPr>
              <w:pStyle w:val="86"/>
              <w:spacing w:afterLines="0" w:line="360" w:lineRule="auto"/>
              <w:ind w:firstLine="480"/>
              <w:rPr>
                <w:rFonts w:ascii="仿宋_GB2312" w:hAnsi="新宋体" w:eastAsia="仿宋_GB2312"/>
                <w:color w:val="auto"/>
                <w:szCs w:val="24"/>
                <w:highlight w:val="none"/>
              </w:rPr>
            </w:pPr>
            <w:r>
              <w:rPr>
                <w:rFonts w:hint="eastAsia" w:ascii="仿宋_GB2312" w:hAnsi="仿宋" w:eastAsia="仿宋_GB2312" w:cs="仿宋_GB2312"/>
                <w:color w:val="auto"/>
                <w:highlight w:val="none"/>
              </w:rPr>
              <w:t>监督投诉电话：</w:t>
            </w:r>
            <w:r>
              <w:rPr>
                <w:rFonts w:hint="eastAsia" w:ascii="仿宋_GB2312" w:hAnsi="新宋体" w:eastAsia="仿宋_GB2312"/>
                <w:color w:val="auto"/>
                <w:szCs w:val="24"/>
                <w:highlight w:val="none"/>
              </w:rPr>
              <w:t>0575-8520</w:t>
            </w:r>
            <w:r>
              <w:rPr>
                <w:rFonts w:hint="eastAsia" w:ascii="仿宋_GB2312" w:hAnsi="新宋体" w:eastAsia="仿宋_GB2312"/>
                <w:color w:val="auto"/>
                <w:szCs w:val="24"/>
                <w:highlight w:val="none"/>
                <w:lang w:val="en-US" w:eastAsia="zh-CN"/>
              </w:rPr>
              <w:t>9645</w:t>
            </w:r>
            <w:r>
              <w:rPr>
                <w:rFonts w:ascii="仿宋_GB2312" w:hAnsi="新宋体" w:eastAsia="仿宋_GB2312"/>
                <w:color w:val="auto"/>
                <w:szCs w:val="24"/>
                <w:highlight w:val="none"/>
              </w:rPr>
              <w:t>   </w:t>
            </w:r>
          </w:p>
          <w:p>
            <w:pPr>
              <w:pStyle w:val="86"/>
              <w:spacing w:afterLines="0" w:line="440" w:lineRule="exact"/>
              <w:ind w:firstLine="480"/>
              <w:jc w:val="left"/>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86"/>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p>
    <w:p>
      <w:pPr>
        <w:ind w:left="238"/>
        <w:jc w:val="center"/>
        <w:rPr>
          <w:rFonts w:ascii="仿宋_GB2312" w:hAnsi="宋体" w:eastAsia="仿宋_GB2312"/>
          <w:b/>
          <w:color w:val="auto"/>
          <w:sz w:val="30"/>
          <w:szCs w:val="36"/>
          <w:highlight w:val="none"/>
        </w:rPr>
      </w:pPr>
      <w:r>
        <w:rPr>
          <w:rFonts w:hint="eastAsia" w:ascii="仿宋_GB2312" w:hAnsi="宋体" w:eastAsia="仿宋_GB2312"/>
          <w:b/>
          <w:color w:val="auto"/>
          <w:sz w:val="30"/>
          <w:szCs w:val="36"/>
          <w:highlight w:val="none"/>
        </w:rPr>
        <w:t>前附表</w:t>
      </w:r>
    </w:p>
    <w:tbl>
      <w:tblPr>
        <w:tblStyle w:val="43"/>
        <w:tblW w:w="9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2341"/>
        <w:gridCol w:w="5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453" w:type="dxa"/>
            <w:gridSpan w:val="3"/>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453" w:type="dxa"/>
            <w:gridSpan w:val="3"/>
            <w:vAlign w:val="center"/>
          </w:tcPr>
          <w:p>
            <w:pPr>
              <w:snapToGrid w:val="0"/>
              <w:spacing w:line="360" w:lineRule="auto"/>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360" w:lineRule="auto"/>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453" w:type="dxa"/>
            <w:gridSpan w:val="3"/>
            <w:vAlign w:val="center"/>
          </w:tcPr>
          <w:p>
            <w:pPr>
              <w:snapToGrid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453" w:type="dxa"/>
            <w:gridSpan w:val="3"/>
            <w:vAlign w:val="center"/>
          </w:tcPr>
          <w:p>
            <w:pPr>
              <w:autoSpaceDE w:val="0"/>
              <w:autoSpaceDN w:val="0"/>
              <w:spacing w:line="360" w:lineRule="auto"/>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453" w:type="dxa"/>
            <w:gridSpan w:val="3"/>
            <w:vAlign w:val="center"/>
          </w:tcPr>
          <w:p>
            <w:pPr>
              <w:spacing w:line="360" w:lineRule="auto"/>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453" w:type="dxa"/>
            <w:gridSpan w:val="3"/>
            <w:vAlign w:val="center"/>
          </w:tcPr>
          <w:p>
            <w:pPr>
              <w:spacing w:line="360" w:lineRule="auto"/>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sdt>
              <w:sdtPr>
                <w:rPr>
                  <w:rFonts w:hint="eastAsia" w:ascii="仿宋_GB2312" w:hAnsi="仿宋" w:eastAsia="仿宋_GB2312" w:cs="Arial"/>
                  <w:color w:val="auto"/>
                  <w:kern w:val="0"/>
                  <w:sz w:val="24"/>
                  <w:highlight w:val="none"/>
                </w:rPr>
                <w:id w:val="25478316"/>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同意将非主体、非关键性的工作分包。</w:t>
            </w:r>
          </w:p>
          <w:p>
            <w:pPr>
              <w:spacing w:line="360" w:lineRule="auto"/>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453" w:type="dxa"/>
            <w:gridSpan w:val="3"/>
            <w:vAlign w:val="center"/>
          </w:tcPr>
          <w:p>
            <w:pPr>
              <w:spacing w:line="360" w:lineRule="auto"/>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453" w:type="dxa"/>
            <w:gridSpan w:val="3"/>
            <w:vAlign w:val="center"/>
          </w:tcPr>
          <w:p>
            <w:pPr>
              <w:autoSpaceDE w:val="0"/>
              <w:autoSpaceDN w:val="0"/>
              <w:spacing w:line="360" w:lineRule="auto"/>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26322061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360" w:lineRule="auto"/>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4006690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rPr>
              <w:t>,地点：</w:t>
            </w:r>
            <w:r>
              <w:rPr>
                <w:rFonts w:hint="eastAsia" w:ascii="仿宋_GB2312" w:hAnsi="仿宋" w:eastAsia="仿宋_GB2312"/>
                <w:color w:val="auto"/>
                <w:sz w:val="24"/>
                <w:highlight w:val="none"/>
              </w:rPr>
              <w:t>，联系人：，联系方式：</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453" w:type="dxa"/>
            <w:gridSpan w:val="3"/>
            <w:vAlign w:val="center"/>
          </w:tcPr>
          <w:p>
            <w:pPr>
              <w:spacing w:line="360" w:lineRule="auto"/>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4078883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360" w:lineRule="auto"/>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kern w:val="0"/>
                <w:sz w:val="24"/>
                <w:highlight w:val="none"/>
              </w:rPr>
              <w:t>；地点：；联系人</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360" w:lineRule="auto"/>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453" w:type="dxa"/>
            <w:gridSpan w:val="3"/>
            <w:vAlign w:val="center"/>
          </w:tcPr>
          <w:p>
            <w:pPr>
              <w:spacing w:line="360" w:lineRule="auto"/>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281644016"/>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A8"/>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360" w:lineRule="auto"/>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lang w:eastAsia="zh-CN"/>
              </w:rPr>
              <w:t>☑</w:t>
            </w:r>
            <w:r>
              <w:rPr>
                <w:rFonts w:hint="eastAsia" w:ascii="仿宋_GB2312" w:hAnsi="仿宋" w:eastAsia="仿宋_GB2312"/>
                <w:color w:val="auto"/>
                <w:kern w:val="0"/>
                <w:sz w:val="24"/>
                <w:highlight w:val="none"/>
              </w:rPr>
              <w:t>B有方案讲解演示：</w:t>
            </w:r>
          </w:p>
          <w:p>
            <w:pPr>
              <w:spacing w:line="360" w:lineRule="auto"/>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在评标时安排每个投标人进行</w:t>
            </w:r>
            <w:r>
              <w:rPr>
                <w:rFonts w:ascii="仿宋_GB2312" w:hAnsi="仿宋" w:eastAsia="仿宋_GB2312"/>
                <w:color w:val="auto"/>
                <w:kern w:val="0"/>
                <w:sz w:val="24"/>
                <w:highlight w:val="none"/>
              </w:rPr>
              <w:t>方案讲解演示</w:t>
            </w:r>
            <w:r>
              <w:rPr>
                <w:rFonts w:hint="eastAsia" w:ascii="仿宋_GB2312" w:hAnsi="仿宋" w:eastAsia="仿宋_GB2312" w:cs="仿宋_GB2312"/>
                <w:color w:val="auto"/>
                <w:kern w:val="0"/>
                <w:sz w:val="24"/>
                <w:highlight w:val="none"/>
                <w:lang w:val="zh-CN"/>
              </w:rPr>
              <w:t>，讲解</w:t>
            </w:r>
            <w:r>
              <w:rPr>
                <w:rFonts w:hint="eastAsia" w:ascii="仿宋_GB2312" w:hAnsi="仿宋" w:eastAsia="仿宋_GB2312" w:cs="仿宋_GB2312"/>
                <w:color w:val="auto"/>
                <w:sz w:val="24"/>
                <w:highlight w:val="none"/>
              </w:rPr>
              <w:t>演示结束</w:t>
            </w:r>
            <w:r>
              <w:rPr>
                <w:rFonts w:hint="eastAsia" w:ascii="仿宋_GB2312" w:hAnsi="仿宋" w:eastAsia="仿宋_GB2312" w:cs="仿宋_GB2312"/>
                <w:color w:val="auto"/>
                <w:kern w:val="0"/>
                <w:sz w:val="24"/>
                <w:highlight w:val="none"/>
                <w:lang w:val="zh-CN"/>
              </w:rPr>
              <w:t>后按要求解答评标委员会的提问。</w:t>
            </w:r>
          </w:p>
          <w:p>
            <w:pPr>
              <w:spacing w:line="360" w:lineRule="auto"/>
              <w:rPr>
                <w:rFonts w:ascii="仿宋_GB2312" w:hAnsi="仿宋_GB2312" w:eastAsia="仿宋_GB2312" w:cs="仿宋_GB2312"/>
                <w:color w:val="auto"/>
                <w:sz w:val="24"/>
                <w:highlight w:val="none"/>
              </w:rPr>
            </w:pPr>
            <w:r>
              <w:rPr>
                <w:rFonts w:hint="eastAsia" w:ascii="仿宋_GB2312" w:hAnsi="仿宋" w:eastAsia="仿宋_GB2312" w:cs="仿宋_GB2312"/>
                <w:b/>
                <w:color w:val="auto"/>
                <w:kern w:val="0"/>
                <w:sz w:val="24"/>
                <w:highlight w:val="none"/>
                <w:lang w:val="zh-CN"/>
              </w:rPr>
              <w:t>讲解演示设备：</w:t>
            </w:r>
            <w:r>
              <w:rPr>
                <w:rFonts w:hint="eastAsia" w:ascii="仿宋_GB2312" w:hAnsi="仿宋" w:eastAsia="仿宋_GB2312" w:cs="仿宋_GB2312"/>
                <w:color w:val="auto"/>
                <w:kern w:val="0"/>
                <w:sz w:val="24"/>
                <w:highlight w:val="none"/>
                <w:lang w:val="zh-CN"/>
              </w:rPr>
              <w:t>讲解</w:t>
            </w:r>
            <w:r>
              <w:rPr>
                <w:rFonts w:hint="eastAsia" w:ascii="仿宋_GB2312" w:hAnsi="仿宋_GB2312" w:eastAsia="仿宋_GB2312" w:cs="仿宋_GB2312"/>
                <w:color w:val="auto"/>
                <w:sz w:val="24"/>
                <w:highlight w:val="none"/>
              </w:rPr>
              <w:t>演示所需设备由投标人自行准备。</w:t>
            </w:r>
          </w:p>
          <w:p>
            <w:pPr>
              <w:spacing w:line="360" w:lineRule="auto"/>
              <w:rPr>
                <w:rFonts w:ascii="仿宋_GB2312" w:hAnsi="仿宋" w:eastAsia="仿宋_GB2312" w:cs="仿宋_GB2312"/>
                <w:color w:val="auto"/>
                <w:kern w:val="0"/>
                <w:sz w:val="24"/>
                <w:highlight w:val="none"/>
                <w:lang w:val="zh-CN"/>
              </w:rPr>
            </w:pPr>
            <w:r>
              <w:rPr>
                <w:rFonts w:hint="eastAsia" w:ascii="仿宋_GB2312" w:hAnsi="仿宋" w:eastAsia="仿宋_GB2312" w:cs="仿宋_GB2312"/>
                <w:b/>
                <w:color w:val="auto"/>
                <w:kern w:val="0"/>
                <w:sz w:val="24"/>
                <w:highlight w:val="none"/>
                <w:lang w:val="zh-CN"/>
              </w:rPr>
              <w:t>讲解演示时间：</w:t>
            </w:r>
            <w:r>
              <w:rPr>
                <w:rFonts w:hint="eastAsia" w:ascii="仿宋_GB2312" w:hAnsi="仿宋" w:eastAsia="仿宋_GB2312" w:cs="仿宋_GB2312"/>
                <w:color w:val="auto"/>
                <w:kern w:val="0"/>
                <w:sz w:val="24"/>
                <w:highlight w:val="none"/>
                <w:lang w:val="zh-CN"/>
              </w:rPr>
              <w:t>每个投标人讲解演示时间不超过</w:t>
            </w:r>
            <w:r>
              <w:rPr>
                <w:rFonts w:hint="eastAsia" w:ascii="仿宋_GB2312" w:hAnsi="仿宋" w:eastAsia="仿宋_GB2312" w:cs="仿宋_GB2312"/>
                <w:color w:val="auto"/>
                <w:kern w:val="0"/>
                <w:sz w:val="24"/>
                <w:highlight w:val="none"/>
                <w:lang w:val="en-US" w:eastAsia="zh-CN"/>
              </w:rPr>
              <w:t>20</w:t>
            </w:r>
            <w:r>
              <w:rPr>
                <w:rFonts w:hint="eastAsia" w:ascii="仿宋_GB2312" w:hAnsi="仿宋" w:eastAsia="仿宋_GB2312" w:cs="仿宋_GB2312"/>
                <w:color w:val="auto"/>
                <w:kern w:val="0"/>
                <w:sz w:val="24"/>
                <w:highlight w:val="none"/>
                <w:lang w:val="zh-CN"/>
              </w:rPr>
              <w:t>分钟，</w:t>
            </w:r>
            <w:r>
              <w:rPr>
                <w:rFonts w:hint="eastAsia" w:ascii="仿宋_GB2312" w:hAnsi="仿宋_GB2312" w:eastAsia="仿宋_GB2312" w:cs="仿宋_GB2312"/>
                <w:color w:val="auto"/>
                <w:sz w:val="24"/>
                <w:highlight w:val="none"/>
              </w:rPr>
              <w:t>不包含评标委员会提问解答时间。</w:t>
            </w:r>
          </w:p>
          <w:p>
            <w:pPr>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b/>
                <w:color w:val="auto"/>
                <w:kern w:val="0"/>
                <w:sz w:val="24"/>
                <w:highlight w:val="none"/>
                <w:lang w:val="zh-CN"/>
              </w:rPr>
              <w:t>讲解演示次序：</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w:t>
            </w:r>
          </w:p>
          <w:p>
            <w:pPr>
              <w:spacing w:line="360" w:lineRule="auto"/>
              <w:rPr>
                <w:rFonts w:hint="default" w:ascii="仿宋_GB2312" w:hAnsi="宋体" w:eastAsia="仿宋_GB2312"/>
                <w:color w:val="auto"/>
                <w:sz w:val="24"/>
                <w:highlight w:val="none"/>
                <w:lang w:val="en-US" w:eastAsia="zh-CN"/>
              </w:rPr>
            </w:pPr>
            <w:r>
              <w:rPr>
                <w:rFonts w:hint="eastAsia" w:ascii="仿宋_GB2312" w:hAnsi="仿宋" w:eastAsia="仿宋_GB2312" w:cs="仿宋_GB2312"/>
                <w:b/>
                <w:color w:val="auto"/>
                <w:kern w:val="0"/>
                <w:sz w:val="24"/>
                <w:highlight w:val="none"/>
                <w:lang w:val="zh-CN"/>
              </w:rPr>
              <w:t>讲解演示途径：</w:t>
            </w:r>
            <w:r>
              <w:rPr>
                <w:rFonts w:hint="eastAsia" w:ascii="仿宋_GB2312" w:hAnsi="仿宋" w:eastAsia="仿宋_GB2312" w:cs="仿宋_GB2312"/>
                <w:color w:val="auto"/>
                <w:kern w:val="0"/>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98" w:type="dxa"/>
            <w:gridSpan w:val="2"/>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751813434"/>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360" w:lineRule="auto"/>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83321284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spacing w:line="360" w:lineRule="auto"/>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98" w:type="dxa"/>
            <w:gridSpan w:val="2"/>
            <w:vAlign w:val="center"/>
          </w:tcPr>
          <w:p>
            <w:pPr>
              <w:snapToGrid w:val="0"/>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sdt>
            <w:sdt>
              <w:sdtPr>
                <w:rPr>
                  <w:rFonts w:hint="eastAsia" w:ascii="仿宋_GB2312" w:hAnsi="仿宋" w:eastAsia="仿宋_GB2312" w:cs="Arial"/>
                  <w:color w:val="auto"/>
                  <w:kern w:val="0"/>
                  <w:sz w:val="24"/>
                  <w:highlight w:val="none"/>
                </w:rPr>
                <w:id w:val="961870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6977016"/>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sym w:font="Wingdings" w:char="00FE"/>
                    </w:r>
                  </w:sdtContent>
                </w:sdt>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kern w:val="0"/>
                <w:sz w:val="24"/>
                <w:highlight w:val="none"/>
                <w:lang w:val="en-US" w:eastAsia="zh-CN"/>
              </w:rPr>
              <w:t>影像归档和通信系统建设</w:t>
            </w:r>
            <w:r>
              <w:rPr>
                <w:rFonts w:hint="eastAsia" w:ascii="仿宋_GB2312" w:hAnsi="仿宋" w:eastAsia="仿宋_GB2312"/>
                <w:color w:val="auto"/>
                <w:sz w:val="24"/>
                <w:highlight w:val="none"/>
              </w:rPr>
              <w:t>。</w:t>
            </w:r>
          </w:p>
          <w:p>
            <w:pPr>
              <w:snapToGrid w:val="0"/>
              <w:spacing w:line="360" w:lineRule="auto"/>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116977016"/>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sym w:font="Wingdings" w:char="00A8"/>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3196" w:type="dxa"/>
            <w:gridSpan w:val="2"/>
            <w:vAlign w:val="center"/>
          </w:tcPr>
          <w:p>
            <w:pPr>
              <w:snapToGrid w:val="0"/>
              <w:spacing w:line="360" w:lineRule="auto"/>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5257"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）标项一，</w:t>
            </w:r>
            <w:r>
              <w:rPr>
                <w:rFonts w:hint="eastAsia" w:ascii="仿宋_GB2312" w:hAnsi="仿宋" w:eastAsia="仿宋_GB2312" w:cs="Arial"/>
                <w:color w:val="auto"/>
                <w:kern w:val="0"/>
                <w:sz w:val="24"/>
                <w:highlight w:val="none"/>
                <w:lang w:val="en-US" w:eastAsia="zh-CN"/>
              </w:rPr>
              <w:t>软件和信息技术服务业</w:t>
            </w: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360" w:lineRule="auto"/>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360" w:lineRule="auto"/>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98" w:type="dxa"/>
            <w:gridSpan w:val="2"/>
            <w:vAlign w:val="center"/>
          </w:tcPr>
          <w:p>
            <w:pPr>
              <w:snapToGrid w:val="0"/>
              <w:spacing w:line="360" w:lineRule="auto"/>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信用信息查询渠道及截止时间：</w:t>
            </w:r>
            <w:r>
              <w:rPr>
                <w:rFonts w:hint="eastAsia" w:ascii="仿宋_GB2312" w:hAnsi="宋体" w:eastAsia="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宋体" w:eastAsia="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360" w:lineRule="auto"/>
              <w:jc w:val="center"/>
              <w:rPr>
                <w:rFonts w:ascii="仿宋_GB2312" w:hAnsi="宋体" w:eastAsia="仿宋_GB2312"/>
                <w:color w:val="auto"/>
                <w:sz w:val="24"/>
                <w:highlight w:val="none"/>
              </w:rPr>
            </w:pPr>
          </w:p>
        </w:tc>
        <w:tc>
          <w:tcPr>
            <w:tcW w:w="855" w:type="dxa"/>
            <w:vMerge w:val="continue"/>
            <w:vAlign w:val="center"/>
          </w:tcPr>
          <w:p>
            <w:pPr>
              <w:snapToGrid w:val="0"/>
              <w:spacing w:line="360" w:lineRule="auto"/>
              <w:rPr>
                <w:rFonts w:ascii="仿宋_GB2312" w:hAnsi="仿宋_GB2312" w:eastAsia="仿宋_GB2312" w:cs="仿宋_GB2312"/>
                <w:b/>
                <w:color w:val="auto"/>
                <w:sz w:val="24"/>
                <w:highlight w:val="none"/>
              </w:rPr>
            </w:pPr>
          </w:p>
        </w:tc>
        <w:tc>
          <w:tcPr>
            <w:tcW w:w="7598" w:type="dxa"/>
            <w:gridSpan w:val="2"/>
            <w:vAlign w:val="center"/>
          </w:tcPr>
          <w:p>
            <w:pPr>
              <w:snapToGrid w:val="0"/>
              <w:spacing w:line="360" w:lineRule="auto"/>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信用信息查询记录和证据留存的具体方式：</w:t>
            </w:r>
            <w:r>
              <w:rPr>
                <w:rFonts w:hint="eastAsia" w:ascii="仿宋_GB2312" w:hAnsi="宋体" w:eastAsia="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360" w:lineRule="auto"/>
              <w:jc w:val="center"/>
              <w:rPr>
                <w:rFonts w:ascii="仿宋_GB2312" w:hAnsi="宋体" w:eastAsia="仿宋_GB2312"/>
                <w:color w:val="auto"/>
                <w:sz w:val="24"/>
                <w:highlight w:val="none"/>
              </w:rPr>
            </w:pPr>
          </w:p>
        </w:tc>
        <w:tc>
          <w:tcPr>
            <w:tcW w:w="855" w:type="dxa"/>
            <w:vMerge w:val="continue"/>
            <w:vAlign w:val="center"/>
          </w:tcPr>
          <w:p>
            <w:pPr>
              <w:snapToGrid w:val="0"/>
              <w:spacing w:line="360" w:lineRule="auto"/>
              <w:rPr>
                <w:rFonts w:ascii="仿宋_GB2312" w:hAnsi="仿宋_GB2312" w:eastAsia="仿宋_GB2312" w:cs="仿宋_GB2312"/>
                <w:b/>
                <w:color w:val="auto"/>
                <w:sz w:val="24"/>
                <w:highlight w:val="none"/>
              </w:rPr>
            </w:pPr>
          </w:p>
        </w:tc>
        <w:tc>
          <w:tcPr>
            <w:tcW w:w="7598" w:type="dxa"/>
            <w:gridSpan w:val="2"/>
            <w:vAlign w:val="center"/>
          </w:tcPr>
          <w:p>
            <w:pPr>
              <w:snapToGrid w:val="0"/>
              <w:spacing w:line="360" w:lineRule="auto"/>
              <w:rPr>
                <w:rFonts w:ascii="仿宋_GB2312" w:hAnsi="宋体" w:eastAsia="仿宋_GB2312"/>
                <w:color w:val="auto"/>
                <w:sz w:val="24"/>
                <w:highlight w:val="none"/>
              </w:rPr>
            </w:pPr>
            <w:r>
              <w:rPr>
                <w:rFonts w:hint="eastAsia" w:ascii="仿宋_GB2312" w:hAnsi="宋体" w:eastAsia="仿宋_GB2312"/>
                <w:b/>
                <w:color w:val="auto"/>
                <w:sz w:val="24"/>
                <w:highlight w:val="none"/>
              </w:rPr>
              <w:t>信用信息的使用规则：</w:t>
            </w:r>
            <w:r>
              <w:rPr>
                <w:rFonts w:hint="eastAsia" w:ascii="仿宋_GB2312" w:hAnsi="宋体" w:eastAsia="仿宋_GB2312"/>
                <w:color w:val="auto"/>
                <w:sz w:val="24"/>
                <w:highlight w:val="none"/>
              </w:rPr>
              <w:t>经查询列入失信被执行人名单、重大税收违法案件当事人名单、政府采购严重违法失信行为记录名单的投标人将被拒绝参与政府采购活动。</w:t>
            </w:r>
          </w:p>
          <w:p>
            <w:pPr>
              <w:snapToGrid w:val="0"/>
              <w:spacing w:line="360" w:lineRule="auto"/>
              <w:rPr>
                <w:rFonts w:ascii="仿宋_GB2312" w:hAnsi="仿宋_GB2312" w:eastAsia="仿宋_GB2312" w:cs="仿宋_GB2312"/>
                <w:b/>
                <w:color w:val="auto"/>
                <w:sz w:val="24"/>
                <w:highlight w:val="none"/>
              </w:rPr>
            </w:pPr>
            <w:r>
              <w:rPr>
                <w:rFonts w:ascii="仿宋_GB2312" w:hAnsi="宋体" w:eastAsia="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453" w:type="dxa"/>
            <w:gridSpan w:val="3"/>
            <w:vAlign w:val="center"/>
          </w:tcPr>
          <w:p>
            <w:pPr>
              <w:snapToGrid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453" w:type="dxa"/>
            <w:gridSpan w:val="3"/>
            <w:vAlign w:val="center"/>
          </w:tcPr>
          <w:p>
            <w:pPr>
              <w:snapToGrid w:val="0"/>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453" w:type="dxa"/>
            <w:gridSpan w:val="3"/>
            <w:vAlign w:val="center"/>
          </w:tcPr>
          <w:p>
            <w:pPr>
              <w:snapToGrid w:val="0"/>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17                                                                                                                                                                                                                                                                                                                                                                                                                                                                                                                                                                                                                                                                                                                                                                                                                                                                                                                                                                                                                                                                                                                                                                                                                                                                                                                                        </w:t>
            </w:r>
          </w:p>
        </w:tc>
        <w:tc>
          <w:tcPr>
            <w:tcW w:w="8453" w:type="dxa"/>
            <w:gridSpan w:val="3"/>
            <w:vAlign w:val="center"/>
          </w:tcPr>
          <w:p>
            <w:pPr>
              <w:snapToGrid w:val="0"/>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投标与开标注意事项：</w:t>
            </w:r>
          </w:p>
          <w:p>
            <w:pPr>
              <w:snapToGrid w:val="0"/>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1.本项目实行网上投标，采用电子投标文件。若供应商参与投标，自行承担投标一切费用。</w:t>
            </w:r>
          </w:p>
          <w:p>
            <w:pPr>
              <w:snapToGrid w:val="0"/>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注：供应商CA相关操作可参考政采云平台</w:t>
            </w:r>
            <w:r>
              <w:rPr>
                <w:rFonts w:hint="eastAsia" w:ascii="仿宋_GB2312" w:hAnsi="新宋体" w:eastAsia="仿宋_GB2312"/>
                <w:color w:val="auto"/>
                <w:highlight w:val="none"/>
              </w:rPr>
              <w:t>https://www.zcygov.cn/</w:t>
            </w:r>
            <w:r>
              <w:rPr>
                <w:rFonts w:hint="eastAsia" w:ascii="仿宋_GB2312" w:hAnsi="仿宋" w:eastAsia="仿宋_GB2312"/>
                <w:color w:val="auto"/>
                <w:sz w:val="24"/>
                <w:highlight w:val="none"/>
              </w:rPr>
              <w:t>《CA申领操作指南》和《CA管理操作指南》。完成CA数字证书办理在资料齐全的情况下预计7个工作日左右，建议供应商获取招标文件后立即办理。</w:t>
            </w:r>
          </w:p>
          <w:p>
            <w:pPr>
              <w:snapToGrid w:val="0"/>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3.投标文件制作、递交、解密：</w:t>
            </w:r>
          </w:p>
          <w:p>
            <w:pPr>
              <w:snapToGrid w:val="0"/>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360" w:lineRule="auto"/>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3.2投标人通过“政采云”平台制作电子投标文件，投标文件制作详见“供应商-政府采购项目电子交易操作指南。</w:t>
            </w:r>
          </w:p>
          <w:p>
            <w:pPr>
              <w:snapToGrid w:val="0"/>
              <w:spacing w:line="360" w:lineRule="auto"/>
              <w:rPr>
                <w:rFonts w:ascii="仿宋" w:hAnsi="仿宋" w:eastAsia="仿宋"/>
                <w:color w:val="auto"/>
                <w:sz w:val="24"/>
                <w:highlight w:val="none"/>
              </w:rPr>
            </w:pPr>
            <w:r>
              <w:rPr>
                <w:rFonts w:hint="eastAsia" w:ascii="仿宋_GB2312" w:hAnsi="仿宋" w:eastAsia="仿宋_GB2312"/>
                <w:color w:val="auto"/>
                <w:sz w:val="24"/>
                <w:highlight w:val="none"/>
              </w:rPr>
              <w:t>3.3</w:t>
            </w:r>
            <w:r>
              <w:rPr>
                <w:rFonts w:hint="eastAsia" w:ascii="仿宋_GB2312" w:hAnsi="新宋体" w:eastAsia="仿宋_GB2312" w:cs="Arial"/>
                <w:color w:val="auto"/>
                <w:sz w:val="24"/>
                <w:highlight w:val="none"/>
              </w:rPr>
              <w:t>开标时间后3</w:t>
            </w:r>
            <w:r>
              <w:rPr>
                <w:rFonts w:ascii="仿宋_GB2312" w:hAnsi="新宋体" w:eastAsia="仿宋_GB2312" w:cs="Arial"/>
                <w:color w:val="auto"/>
                <w:sz w:val="24"/>
                <w:highlight w:val="none"/>
              </w:rPr>
              <w:t>0</w:t>
            </w:r>
            <w:r>
              <w:rPr>
                <w:rFonts w:hint="eastAsia" w:ascii="仿宋_GB2312" w:hAnsi="新宋体" w:eastAsia="仿宋_GB2312" w:cs="Arial"/>
                <w:color w:val="auto"/>
                <w:sz w:val="24"/>
                <w:highlight w:val="none"/>
              </w:rPr>
              <w:t>分钟内供应商可以登录“政采云”平台，用“项目采购-开标评标”功能进行解密投标文件。若供应商</w:t>
            </w:r>
            <w:r>
              <w:rPr>
                <w:rFonts w:hint="eastAsia" w:ascii="仿宋_GB2312" w:hAnsi="宋体" w:eastAsia="仿宋_GB2312"/>
                <w:b/>
                <w:color w:val="auto"/>
                <w:sz w:val="24"/>
                <w:highlight w:val="none"/>
                <w:u w:val="single"/>
              </w:rPr>
              <w:t>未按时解密的</w:t>
            </w:r>
            <w:r>
              <w:rPr>
                <w:rFonts w:hint="eastAsia" w:ascii="仿宋_GB2312" w:hAnsi="新宋体" w:eastAsia="仿宋_GB2312" w:cs="Arial"/>
                <w:color w:val="auto"/>
                <w:sz w:val="24"/>
                <w:highlight w:val="none"/>
              </w:rPr>
              <w:t>，</w:t>
            </w:r>
            <w:r>
              <w:rPr>
                <w:rFonts w:hint="eastAsia" w:ascii="仿宋_GB2312" w:hAnsi="宋体" w:eastAsia="仿宋_GB2312"/>
                <w:b/>
                <w:color w:val="auto"/>
                <w:sz w:val="24"/>
                <w:highlight w:val="none"/>
                <w:u w:val="single"/>
              </w:rPr>
              <w:t>视为投标文件撤回</w:t>
            </w:r>
            <w:r>
              <w:rPr>
                <w:rFonts w:hint="eastAsia" w:ascii="仿宋_GB2312" w:hAnsi="新宋体" w:eastAsia="仿宋_GB2312" w:cs="Arial"/>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453" w:type="dxa"/>
            <w:gridSpan w:val="3"/>
            <w:vAlign w:val="center"/>
          </w:tcPr>
          <w:p>
            <w:pPr>
              <w:spacing w:line="360" w:lineRule="auto"/>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360" w:lineRule="auto"/>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360" w:lineRule="auto"/>
              <w:jc w:val="center"/>
              <w:rPr>
                <w:rFonts w:ascii="仿宋_GB2312" w:hAnsi="宋体" w:eastAsia="仿宋_GB2312"/>
                <w:color w:val="auto"/>
                <w:sz w:val="24"/>
                <w:highlight w:val="none"/>
              </w:rPr>
            </w:pPr>
          </w:p>
        </w:tc>
        <w:tc>
          <w:tcPr>
            <w:tcW w:w="8453" w:type="dxa"/>
            <w:gridSpan w:val="3"/>
            <w:vAlign w:val="center"/>
          </w:tcPr>
          <w:p>
            <w:pPr>
              <w:adjustRightInd w:val="0"/>
              <w:spacing w:line="360" w:lineRule="auto"/>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81633666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23231189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453" w:type="dxa"/>
            <w:gridSpan w:val="3"/>
            <w:vAlign w:val="center"/>
          </w:tcPr>
          <w:p>
            <w:pPr>
              <w:spacing w:line="440" w:lineRule="exact"/>
              <w:rPr>
                <w:rFonts w:ascii="仿宋" w:eastAsia="仿宋" w:cs="仿宋_GB2312"/>
                <w:b/>
                <w:bCs/>
                <w:color w:val="auto"/>
                <w:sz w:val="24"/>
                <w:highlight w:val="none"/>
              </w:rPr>
            </w:pPr>
            <w:r>
              <w:rPr>
                <w:rFonts w:hint="eastAsia" w:ascii="仿宋" w:eastAsia="仿宋" w:cs="仿宋_GB2312"/>
                <w:b/>
                <w:bCs/>
                <w:color w:val="auto"/>
                <w:sz w:val="24"/>
                <w:highlight w:val="none"/>
              </w:rPr>
              <w:t>采购代理服务费：</w:t>
            </w:r>
          </w:p>
          <w:p>
            <w:pPr>
              <w:spacing w:line="44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中标人须向采购代理机构按如下标准和规定交纳代理服务费：</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以中标通知书中确定的中标总金额作为服务费的计算基数，具体比例参照《国家计委关于印发&lt;招标代理服务收费管理暂行办法&gt;的通知》（计价格[2002]1980号）文件收费标准*56%收取；本项目代理服务费不足2000元的，按2000元计算。最终代理服务费收费标准以招标代理与业主签订的合同为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用银行支票、汇票、电汇、现金等付款方式直接交纳代理服务费。</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公司名称：浙江泛亚工程咨询有限公司</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开户行：中国建设银行杭州西湖支行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账  号：33001619635050000853</w:t>
            </w:r>
          </w:p>
          <w:p>
            <w:pPr>
              <w:adjustRightInd w:val="0"/>
              <w:spacing w:line="360" w:lineRule="auto"/>
              <w:rPr>
                <w:rFonts w:ascii="仿宋_GB2312" w:hAnsi="宋体" w:eastAsia="仿宋_GB2312" w:cs="宋体"/>
                <w:color w:val="auto"/>
                <w:kern w:val="0"/>
                <w:sz w:val="24"/>
                <w:szCs w:val="21"/>
                <w:highlight w:val="none"/>
              </w:rPr>
            </w:pPr>
            <w:r>
              <w:rPr>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23" w:type="dxa"/>
            <w:gridSpan w:val="4"/>
            <w:vAlign w:val="center"/>
          </w:tcPr>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9323" w:type="dxa"/>
            <w:gridSpan w:val="4"/>
            <w:vAlign w:val="center"/>
          </w:tcPr>
          <w:p>
            <w:pPr>
              <w:spacing w:line="360" w:lineRule="auto"/>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一、总则</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 项目说明</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1.1本招标文件</w:t>
      </w:r>
      <w:r>
        <w:rPr>
          <w:rFonts w:hint="eastAsia" w:ascii="仿宋" w:hAnsi="仿宋" w:eastAsia="仿宋"/>
          <w:color w:val="auto"/>
          <w:sz w:val="24"/>
          <w:highlight w:val="none"/>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定义</w:t>
      </w:r>
    </w:p>
    <w:p>
      <w:pPr>
        <w:snapToGrid w:val="0"/>
        <w:spacing w:line="440" w:lineRule="exact"/>
        <w:jc w:val="left"/>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2.1政府采购当事人及监管部门：</w:t>
      </w:r>
      <w:r>
        <w:rPr>
          <w:rFonts w:hint="eastAsia" w:ascii="仿宋_GB2312" w:hAnsi="仿宋_GB2312" w:eastAsia="仿宋_GB2312" w:cs="仿宋_GB2312"/>
          <w:color w:val="auto"/>
          <w:sz w:val="24"/>
          <w:highlight w:val="none"/>
          <w:lang w:eastAsia="zh-CN"/>
        </w:rPr>
        <w:t>绍兴市口腔医院</w:t>
      </w:r>
      <w:r>
        <w:rPr>
          <w:rFonts w:hint="eastAsia" w:ascii="仿宋_GB2312" w:hAnsi="仿宋_GB2312" w:eastAsia="仿宋_GB2312" w:cs="仿宋_GB2312"/>
          <w:color w:val="auto"/>
          <w:sz w:val="24"/>
          <w:highlight w:val="none"/>
        </w:rPr>
        <w:t>为本项目的采购人（合同中的甲方），浙江泛亚工程咨询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2.4“项目”系指投标人按招标文件规定向采购人提供的产品和服务。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2.5“授权代表”系指法定代表人的被授权委托人。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2.6“电子交易平台”是指本项目政府采购活动所依托的政府采购云平台（https://www.zcygov.cn/）。</w:t>
      </w:r>
    </w:p>
    <w:p>
      <w:pPr>
        <w:snapToGrid w:val="0"/>
        <w:spacing w:line="440" w:lineRule="exact"/>
        <w:jc w:val="left"/>
        <w:rPr>
          <w:rFonts w:ascii="仿宋_GB2312" w:hAnsi="仿宋" w:eastAsia="仿宋_GB2312"/>
          <w:color w:val="auto"/>
          <w:sz w:val="24"/>
          <w:highlight w:val="none"/>
        </w:rPr>
      </w:pPr>
      <w:r>
        <w:rPr>
          <w:rFonts w:hint="eastAsia" w:ascii="仿宋_GB2312" w:hAnsi="宋体" w:eastAsia="仿宋_GB2312"/>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auto"/>
          <w:sz w:val="24"/>
          <w:highlight w:val="none"/>
        </w:rPr>
        <w:t>“</w:t>
      </w:r>
      <w:sdt>
        <w:sdtPr>
          <w:rPr>
            <w:rFonts w:hint="eastAsia" w:ascii="仿宋_GB2312" w:hAnsi="仿宋" w:eastAsia="仿宋_GB2312" w:cs="Arial"/>
            <w:color w:val="auto"/>
            <w:kern w:val="0"/>
            <w:sz w:val="24"/>
            <w:highlight w:val="none"/>
          </w:rPr>
          <w:id w:val="512970236"/>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hint="eastAsia" w:ascii="仿宋_GB2312" w:hAnsi="仿宋" w:eastAsia="仿宋_GB2312"/>
          <w:color w:val="auto"/>
          <w:sz w:val="24"/>
          <w:highlight w:val="none"/>
        </w:rPr>
        <w:t>”系指适用本项目的要求，“</w:t>
      </w:r>
      <w:sdt>
        <w:sdtPr>
          <w:rPr>
            <w:rFonts w:hint="eastAsia" w:ascii="仿宋_GB2312" w:hAnsi="仿宋" w:eastAsia="仿宋_GB2312" w:cs="Arial"/>
            <w:color w:val="auto"/>
            <w:kern w:val="0"/>
            <w:sz w:val="24"/>
            <w:highlight w:val="none"/>
          </w:rPr>
          <w:id w:val="40488885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”系指不适用本项目的要求。</w:t>
      </w:r>
    </w:p>
    <w:p>
      <w:pPr>
        <w:snapToGrid w:val="0"/>
        <w:spacing w:line="440" w:lineRule="exact"/>
        <w:jc w:val="left"/>
        <w:rPr>
          <w:rFonts w:ascii="仿宋_GB2312" w:hAnsi="宋体" w:eastAsia="仿宋_GB2312"/>
          <w:color w:val="auto"/>
          <w:sz w:val="24"/>
          <w:highlight w:val="none"/>
        </w:rPr>
      </w:pPr>
      <w:r>
        <w:rPr>
          <w:rFonts w:hint="eastAsia" w:ascii="仿宋_GB2312" w:hAnsi="仿宋" w:eastAsia="仿宋_GB2312"/>
          <w:color w:val="auto"/>
          <w:sz w:val="24"/>
          <w:highlight w:val="none"/>
        </w:rPr>
        <w:t>2.8因特殊原因需要使用冠以法定名称的业务专用章的，投标时须提供《业务专用章使用说明函》(详见附件)</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修缮、装修类项目采购建材的，采购人应将绿色建筑和绿色建材性能、指标等作为实质性条件纳入招标文件和合同。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lang w:val="en-US" w:eastAsia="zh-CN"/>
        </w:rPr>
        <w:t>4</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hint="eastAsia" w:ascii="仿宋_GB2312" w:hAnsi="宋体" w:eastAsia="仿宋_GB2312"/>
          <w:b/>
          <w:color w:val="auto"/>
          <w:sz w:val="36"/>
          <w:szCs w:val="36"/>
          <w:highlight w:val="none"/>
        </w:rPr>
      </w:pPr>
    </w:p>
    <w:p>
      <w:pPr>
        <w:snapToGrid w:val="0"/>
        <w:spacing w:before="120" w:beforeLines="50" w:after="120" w:afterLines="50"/>
        <w:jc w:val="center"/>
        <w:rPr>
          <w:rFonts w:ascii="仿宋_GB2312" w:hAnsi="宋体" w:eastAsia="仿宋_GB2312"/>
          <w:color w:val="auto"/>
          <w:sz w:val="24"/>
          <w:highlight w:val="none"/>
        </w:rPr>
      </w:pPr>
      <w:r>
        <w:rPr>
          <w:rFonts w:hint="eastAsia" w:ascii="仿宋_GB2312" w:hAnsi="宋体" w:eastAsia="仿宋_GB2312"/>
          <w:b/>
          <w:color w:val="auto"/>
          <w:sz w:val="36"/>
          <w:szCs w:val="36"/>
          <w:highlight w:val="none"/>
        </w:rPr>
        <w:t>二、招标文件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1．招标方式</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 本次招标采用</w:t>
      </w:r>
      <w:r>
        <w:rPr>
          <w:rFonts w:hint="eastAsia" w:ascii="仿宋_GB2312" w:hAnsi="宋体" w:eastAsia="仿宋_GB2312"/>
          <w:b/>
          <w:color w:val="auto"/>
          <w:kern w:val="0"/>
          <w:sz w:val="24"/>
          <w:highlight w:val="none"/>
        </w:rPr>
        <w:t>公开招标</w:t>
      </w:r>
      <w:r>
        <w:rPr>
          <w:rFonts w:hint="eastAsia" w:ascii="仿宋_GB2312" w:hAnsi="宋体" w:eastAsia="仿宋_GB2312"/>
          <w:color w:val="auto"/>
          <w:sz w:val="24"/>
          <w:highlight w:val="none"/>
        </w:rPr>
        <w:t>方式进行。</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2.授权委托</w:t>
      </w:r>
    </w:p>
    <w:p>
      <w:pPr>
        <w:pStyle w:val="15"/>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投标费用</w:t>
      </w:r>
    </w:p>
    <w:p>
      <w:pPr>
        <w:pStyle w:val="15"/>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 招标文件的修改</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4.1 </w:t>
      </w:r>
      <w:r>
        <w:rPr>
          <w:rFonts w:hint="eastAsia" w:ascii="仿宋_GB2312" w:hAnsi="宋体" w:eastAsia="仿宋_GB2312"/>
          <w:bCs/>
          <w:color w:val="auto"/>
          <w:sz w:val="24"/>
          <w:highlight w:val="none"/>
        </w:rPr>
        <w:t>招标文件包括本招标文件及所有的招标答疑记录（澄清、修改）和发出的补充通知</w:t>
      </w:r>
      <w:r>
        <w:rPr>
          <w:rFonts w:hint="eastAsia" w:ascii="仿宋_GB2312" w:hAnsi="宋体" w:eastAsia="仿宋_GB2312"/>
          <w:color w:val="auto"/>
          <w:sz w:val="24"/>
          <w:highlight w:val="none"/>
        </w:rPr>
        <w:t>。</w:t>
      </w:r>
    </w:p>
    <w:p>
      <w:pPr>
        <w:pStyle w:val="15"/>
        <w:widowControl w:val="0"/>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4.3招标文件的修改</w:t>
      </w:r>
    </w:p>
    <w:p>
      <w:pPr>
        <w:pStyle w:val="15"/>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5.参考品牌</w:t>
      </w:r>
    </w:p>
    <w:p>
      <w:pPr>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三、投标文件</w:t>
      </w:r>
    </w:p>
    <w:p>
      <w:pPr>
        <w:numPr>
          <w:ilvl w:val="0"/>
          <w:numId w:val="5"/>
        </w:num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投标文件的语言、计量单位、形式及效力</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1.4不按招标文件的要求提供的投标文件可能导致被拒绝。</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1.5投标文件的形式和效力</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1.5.2投标文件的效力：</w:t>
      </w:r>
    </w:p>
    <w:p>
      <w:pPr>
        <w:snapToGrid w:val="0"/>
        <w:spacing w:line="440" w:lineRule="exact"/>
        <w:ind w:firstLine="472" w:firstLineChars="196"/>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投标文件的组成</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投标文件由“报价文件资料”、“商务技术（资信）文件资料”两部分组成，</w:t>
      </w:r>
      <w:r>
        <w:rPr>
          <w:rFonts w:hint="eastAsia" w:ascii="仿宋" w:hAnsi="仿宋" w:eastAsia="仿宋"/>
          <w:color w:val="auto"/>
          <w:sz w:val="24"/>
          <w:highlight w:val="none"/>
        </w:rPr>
        <w:t>其中</w:t>
      </w:r>
      <w:r>
        <w:rPr>
          <w:rFonts w:hint="eastAsia" w:ascii="仿宋" w:hAnsi="仿宋" w:eastAsia="仿宋"/>
          <w:b/>
          <w:color w:val="auto"/>
          <w:sz w:val="24"/>
          <w:highlight w:val="none"/>
        </w:rPr>
        <w:t>电子投标文件中所须加盖公章部分均应采用电子签章。</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2.1.1投标响应函（格式见第六部分附件）； </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2.1.2开标一览表（格式见第六部分附件）；</w:t>
      </w:r>
    </w:p>
    <w:p>
      <w:pPr>
        <w:pStyle w:val="25"/>
        <w:spacing w:line="440" w:lineRule="exact"/>
        <w:rPr>
          <w:rFonts w:ascii="仿宋_GB2312" w:hAnsi="宋体" w:eastAsia="仿宋_GB2312"/>
          <w:b w:val="0"/>
          <w:color w:val="auto"/>
          <w:sz w:val="24"/>
          <w:highlight w:val="none"/>
        </w:rPr>
      </w:pPr>
      <w:r>
        <w:rPr>
          <w:rFonts w:hint="eastAsia" w:ascii="仿宋_GB2312" w:hAnsi="宋体" w:eastAsia="仿宋_GB2312"/>
          <w:b w:val="0"/>
          <w:color w:val="auto"/>
          <w:sz w:val="24"/>
          <w:highlight w:val="none"/>
        </w:rPr>
        <w:t>2.1.3中小企业声明函（如有，格式见第六部分附件）；</w:t>
      </w:r>
    </w:p>
    <w:p>
      <w:pPr>
        <w:pStyle w:val="25"/>
        <w:spacing w:line="440" w:lineRule="exact"/>
        <w:rPr>
          <w:rFonts w:ascii="仿宋_GB2312" w:hAnsi="宋体" w:eastAsia="仿宋_GB2312"/>
          <w:b w:val="0"/>
          <w:color w:val="auto"/>
          <w:sz w:val="24"/>
          <w:highlight w:val="none"/>
        </w:rPr>
      </w:pPr>
      <w:r>
        <w:rPr>
          <w:rFonts w:hint="eastAsia" w:ascii="仿宋_GB2312" w:hAnsi="宋体" w:eastAsia="仿宋_GB2312"/>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 “商务技术（资信）文件资料”应包括以下内容（正本用原件）：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2.2.1法定代表人授权委托书(格式见第六部分附件)；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2.2.2授权代表社保证明（格式见第六部分附件）；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2.2.3法定代表人身份证明书（格式见第六部分附件）；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2.2.4供应商基本资格条件书面承诺函（格式见第六部分附件）；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2.2.5供应商特定资格条件（如项目要求）的有关证明材料（复印件）；</w:t>
      </w:r>
    </w:p>
    <w:p>
      <w:pPr>
        <w:snapToGrid w:val="0"/>
        <w:spacing w:line="440" w:lineRule="exact"/>
        <w:jc w:val="left"/>
        <w:rPr>
          <w:rFonts w:ascii="仿宋_GB2312" w:hAnsi="宋体" w:eastAsia="仿宋_GB2312"/>
          <w:color w:val="auto"/>
          <w:sz w:val="24"/>
          <w:highlight w:val="none"/>
          <w:lang w:val="zh-CN"/>
        </w:rPr>
      </w:pPr>
      <w:bookmarkStart w:id="1" w:name="_Hlt68073093"/>
      <w:bookmarkEnd w:id="1"/>
      <w:bookmarkStart w:id="2" w:name="_Hlt68403820"/>
      <w:bookmarkEnd w:id="2"/>
      <w:bookmarkStart w:id="3" w:name="_Hlt68072998"/>
      <w:bookmarkEnd w:id="3"/>
      <w:r>
        <w:rPr>
          <w:rFonts w:hint="eastAsia" w:ascii="仿宋_GB2312" w:hAnsi="宋体" w:eastAsia="仿宋_GB2312"/>
          <w:color w:val="auto"/>
          <w:sz w:val="24"/>
          <w:highlight w:val="none"/>
        </w:rPr>
        <w:t>2.2.6</w:t>
      </w:r>
      <w:r>
        <w:rPr>
          <w:rFonts w:hint="eastAsia" w:ascii="仿宋_GB2312" w:hAnsi="宋体" w:eastAsia="仿宋_GB2312"/>
          <w:color w:val="auto"/>
          <w:sz w:val="24"/>
          <w:highlight w:val="none"/>
          <w:lang w:val="zh-CN"/>
        </w:rPr>
        <w:t>投标人应提供针对项目的完整技术解决方案：</w:t>
      </w:r>
    </w:p>
    <w:p>
      <w:pPr>
        <w:snapToGrid w:val="0"/>
        <w:spacing w:line="440" w:lineRule="exact"/>
        <w:jc w:val="left"/>
        <w:rPr>
          <w:rFonts w:ascii="仿宋_GB2312" w:hAnsi="仿宋_GB2312" w:eastAsia="仿宋_GB2312" w:cs="仿宋_GB2312"/>
          <w:color w:val="auto"/>
          <w:kern w:val="0"/>
          <w:sz w:val="24"/>
          <w:highlight w:val="none"/>
          <w:lang w:val="zh-CN"/>
        </w:rPr>
      </w:pPr>
      <w:r>
        <w:rPr>
          <w:rFonts w:hint="eastAsia" w:ascii="仿宋_GB2312" w:hAnsi="宋体" w:eastAsia="仿宋_GB2312"/>
          <w:color w:val="auto"/>
          <w:sz w:val="24"/>
          <w:highlight w:val="none"/>
          <w:lang w:val="zh-CN"/>
        </w:rPr>
        <w:t>针对本项目的完整技术解决</w:t>
      </w:r>
      <w:r>
        <w:rPr>
          <w:rFonts w:hint="eastAsia" w:ascii="仿宋_GB2312" w:hAnsi="仿宋_GB2312" w:eastAsia="仿宋_GB2312" w:cs="仿宋_GB2312"/>
          <w:color w:val="auto"/>
          <w:sz w:val="24"/>
          <w:highlight w:val="none"/>
          <w:lang w:val="zh-CN"/>
        </w:rPr>
        <w:t>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提供主要投标产品的技术参数证明材料（如原厂技术说明、官网截图、产品彩页等），</w:t>
      </w:r>
      <w:r>
        <w:rPr>
          <w:rFonts w:hint="eastAsia" w:ascii="仿宋_GB2312" w:hAnsi="仿宋_GB2312" w:eastAsia="仿宋_GB2312" w:cs="仿宋_GB2312"/>
          <w:color w:val="auto"/>
          <w:sz w:val="24"/>
          <w:highlight w:val="none"/>
        </w:rPr>
        <w:t>明确表示该项指标所涉及的软硬件是标准配置还是选择配置</w:t>
      </w:r>
      <w:r>
        <w:rPr>
          <w:rFonts w:hint="eastAsia" w:ascii="仿宋_GB2312" w:hAnsi="仿宋_GB2312" w:eastAsia="仿宋_GB2312" w:cs="仿宋_GB2312"/>
          <w:b/>
          <w:color w:val="auto"/>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highlight w:val="none"/>
          <w:lang w:val="zh-CN"/>
        </w:rPr>
        <w:t>任何含糊不清的</w:t>
      </w:r>
      <w:r>
        <w:rPr>
          <w:rFonts w:hint="eastAsia" w:ascii="仿宋_GB2312" w:hAnsi="仿宋_GB2312" w:eastAsia="仿宋_GB2312" w:cs="仿宋_GB2312"/>
          <w:b/>
          <w:color w:val="auto"/>
          <w:sz w:val="24"/>
          <w:highlight w:val="none"/>
        </w:rPr>
        <w:t>表述导致</w:t>
      </w:r>
      <w:r>
        <w:rPr>
          <w:rFonts w:hint="eastAsia" w:ascii="仿宋_GB2312" w:hAnsi="仿宋_GB2312" w:eastAsia="仿宋_GB2312" w:cs="仿宋_GB2312"/>
          <w:b/>
          <w:color w:val="auto"/>
          <w:kern w:val="0"/>
          <w:sz w:val="24"/>
          <w:highlight w:val="none"/>
          <w:lang w:val="zh-CN"/>
        </w:rPr>
        <w:t>评标委员会技术扣分直至认定为投标无效都将是投标人的责任）</w:t>
      </w:r>
      <w:r>
        <w:rPr>
          <w:rFonts w:hint="eastAsia" w:ascii="仿宋_GB2312" w:hAnsi="仿宋_GB2312" w:eastAsia="仿宋_GB2312" w:cs="仿宋_GB2312"/>
          <w:color w:val="auto"/>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仿宋" w:eastAsia="仿宋_GB2312" w:cs="仿宋_GB2312"/>
          <w:color w:val="auto"/>
          <w:sz w:val="24"/>
          <w:highlight w:val="none"/>
        </w:rPr>
        <w:t>本项目如需采购政府强制采购的节能产品的或</w:t>
      </w:r>
      <w:r>
        <w:rPr>
          <w:rFonts w:hint="eastAsia" w:ascii="仿宋_GB2312" w:hAnsi="仿宋" w:eastAsia="仿宋_GB2312"/>
          <w:color w:val="auto"/>
          <w:sz w:val="24"/>
          <w:highlight w:val="none"/>
        </w:rPr>
        <w:t>投标人提供的产品是环境标志产品，</w:t>
      </w:r>
      <w:r>
        <w:rPr>
          <w:rFonts w:hint="eastAsia" w:ascii="仿宋_GB2312" w:hAnsi="仿宋" w:eastAsia="仿宋_GB2312" w:cs="仿宋_GB2312"/>
          <w:color w:val="auto"/>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w:t>
      </w:r>
      <w:r>
        <w:rPr>
          <w:rFonts w:hint="eastAsia" w:ascii="仿宋_GB2312" w:hAnsi="仿宋_GB2312" w:eastAsia="仿宋_GB2312" w:cs="仿宋_GB2312"/>
          <w:color w:val="auto"/>
          <w:kern w:val="0"/>
          <w:sz w:val="24"/>
          <w:highlight w:val="none"/>
          <w:lang w:val="zh-CN"/>
        </w:rPr>
        <w:t>（如果有）</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r>
        <w:rPr>
          <w:rFonts w:hint="eastAsia" w:ascii="仿宋_GB2312" w:hAnsi="仿宋_GB2312" w:eastAsia="仿宋_GB2312" w:cs="仿宋_GB2312"/>
          <w:color w:val="auto"/>
          <w:kern w:val="0"/>
          <w:sz w:val="24"/>
          <w:highlight w:val="none"/>
          <w:lang w:val="zh-CN"/>
        </w:rPr>
        <w:t>（如果有）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rPr>
        <w:t>2.2.9</w:t>
      </w:r>
      <w:r>
        <w:rPr>
          <w:rFonts w:hint="eastAsia" w:ascii="仿宋_GB2312" w:hAnsi="仿宋_GB2312" w:eastAsia="仿宋_GB2312" w:cs="仿宋_GB2312"/>
          <w:color w:val="auto"/>
          <w:sz w:val="24"/>
          <w:highlight w:val="none"/>
        </w:rPr>
        <w:t>投标人在投标文件技术偏离说明表中，</w:t>
      </w:r>
      <w:r>
        <w:rPr>
          <w:rFonts w:hint="eastAsia" w:ascii="仿宋_GB2312" w:hAnsi="仿宋_GB2312" w:eastAsia="仿宋_GB2312" w:cs="仿宋_GB2312"/>
          <w:color w:val="auto"/>
          <w:kern w:val="0"/>
          <w:sz w:val="24"/>
          <w:highlight w:val="none"/>
          <w:lang w:val="zh-CN"/>
        </w:rPr>
        <w:t>应对</w:t>
      </w:r>
      <w:r>
        <w:rPr>
          <w:rFonts w:hint="eastAsia" w:ascii="仿宋_GB2312" w:hAnsi="仿宋_GB2312" w:eastAsia="仿宋_GB2312" w:cs="仿宋_GB2312"/>
          <w:color w:val="auto"/>
          <w:sz w:val="24"/>
          <w:highlight w:val="none"/>
        </w:rPr>
        <w:t>项目技术规范和服务要求</w:t>
      </w:r>
      <w:r>
        <w:rPr>
          <w:rFonts w:hint="eastAsia" w:ascii="仿宋_GB2312" w:hAnsi="仿宋_GB2312" w:eastAsia="仿宋_GB2312" w:cs="仿宋_GB2312"/>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2.2.14</w:t>
      </w:r>
      <w:r>
        <w:rPr>
          <w:rFonts w:hint="eastAsia" w:ascii="仿宋_GB2312" w:hAnsi="仿宋_GB2312" w:eastAsia="仿宋_GB2312" w:cs="仿宋_GB2312"/>
          <w:color w:val="auto"/>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2.2.15验收方案；（如果有）</w:t>
      </w:r>
    </w:p>
    <w:p>
      <w:pPr>
        <w:snapToGrid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kern w:val="0"/>
          <w:sz w:val="24"/>
          <w:highlight w:val="none"/>
        </w:rPr>
        <w:t>2.2.16</w:t>
      </w:r>
      <w:r>
        <w:rPr>
          <w:rFonts w:hint="eastAsia" w:ascii="仿宋_GB2312" w:hAnsi="仿宋_GB2312" w:eastAsia="仿宋_GB2312" w:cs="仿宋_GB2312"/>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（如果有）</w:t>
      </w:r>
    </w:p>
    <w:p>
      <w:pPr>
        <w:snapToGrid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zh-CN"/>
        </w:rPr>
        <w:t>2.2.17廉政承诺书</w:t>
      </w:r>
      <w:r>
        <w:rPr>
          <w:rFonts w:hint="eastAsia" w:ascii="仿宋_GB2312" w:hAnsi="宋体" w:eastAsia="仿宋_GB2312"/>
          <w:color w:val="auto"/>
          <w:sz w:val="24"/>
          <w:highlight w:val="none"/>
        </w:rPr>
        <w:t>（格式见第六部分附件）；</w:t>
      </w:r>
    </w:p>
    <w:p>
      <w:pPr>
        <w:pStyle w:val="21"/>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2.2.18联合协议；</w:t>
      </w:r>
      <w:r>
        <w:rPr>
          <w:rFonts w:hint="eastAsia" w:ascii="仿宋_GB2312" w:hAnsi="仿宋_GB2312" w:eastAsia="仿宋_GB2312" w:cs="仿宋_GB2312"/>
          <w:color w:val="auto"/>
          <w:highlight w:val="none"/>
          <w:lang w:val="zh-CN"/>
        </w:rPr>
        <w:t>（如果有）</w:t>
      </w:r>
    </w:p>
    <w:p>
      <w:pPr>
        <w:pStyle w:val="21"/>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2.2.19分包意向协议；</w:t>
      </w:r>
      <w:r>
        <w:rPr>
          <w:rFonts w:hint="eastAsia" w:ascii="仿宋_GB2312" w:hAnsi="仿宋_GB2312" w:eastAsia="仿宋_GB2312" w:cs="仿宋_GB2312"/>
          <w:color w:val="auto"/>
          <w:highlight w:val="none"/>
          <w:lang w:val="zh-CN"/>
        </w:rPr>
        <w:t>（如果有）</w:t>
      </w:r>
    </w:p>
    <w:p>
      <w:pPr>
        <w:pStyle w:val="21"/>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2.2.20中小企业声明函；（格式见第六部分附件）；</w:t>
      </w:r>
    </w:p>
    <w:p>
      <w:pPr>
        <w:snapToGrid w:val="0"/>
        <w:spacing w:line="440" w:lineRule="exact"/>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2.2.21</w:t>
      </w:r>
      <w:r>
        <w:rPr>
          <w:rFonts w:hint="eastAsia" w:ascii="仿宋_GB2312" w:hAnsi="宋体" w:eastAsia="仿宋_GB2312"/>
          <w:b/>
          <w:bCs/>
          <w:color w:val="auto"/>
          <w:sz w:val="24"/>
          <w:highlight w:val="none"/>
          <w:u w:val="wave"/>
        </w:rPr>
        <w:t>未尽事宜请各投标单位按评分标准和相对应标项相关要求制作</w:t>
      </w:r>
      <w:r>
        <w:rPr>
          <w:rFonts w:hint="eastAsia" w:ascii="仿宋_GB2312" w:hAnsi="宋体" w:eastAsia="仿宋_GB2312"/>
          <w:b/>
          <w:bCs/>
          <w:color w:val="auto"/>
          <w:sz w:val="24"/>
          <w:highlight w:val="none"/>
        </w:rPr>
        <w:t>；</w:t>
      </w:r>
    </w:p>
    <w:p>
      <w:pPr>
        <w:pStyle w:val="21"/>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_GB2312" w:hAnsi="宋体" w:eastAsia="仿宋_GB2312"/>
          <w:b/>
          <w:color w:val="auto"/>
          <w:highlight w:val="none"/>
        </w:rPr>
      </w:pPr>
      <w:r>
        <w:rPr>
          <w:rFonts w:hint="eastAsia" w:ascii="仿宋_GB2312" w:hAnsi="宋体" w:eastAsia="仿宋_GB2312"/>
          <w:color w:val="auto"/>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投标报价</w:t>
      </w:r>
    </w:p>
    <w:p>
      <w:pPr>
        <w:pStyle w:val="24"/>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3.1投标人应按招标文件中《开标一览表》等附表要求填写。</w:t>
      </w:r>
    </w:p>
    <w:p>
      <w:pPr>
        <w:pStyle w:val="24"/>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w:t>
      </w:r>
      <w:r>
        <w:rPr>
          <w:rFonts w:hint="eastAsia" w:ascii="仿宋_GB2312" w:hAnsi="宋体" w:eastAsia="仿宋_GB2312"/>
          <w:b/>
          <w:color w:val="auto"/>
          <w:sz w:val="24"/>
          <w:highlight w:val="none"/>
        </w:rPr>
        <w:t>投标报价只允许有一个报价，有选择的报价将不予接受（除指定外）。</w:t>
      </w:r>
    </w:p>
    <w:p>
      <w:pPr>
        <w:pStyle w:val="15"/>
        <w:tabs>
          <w:tab w:val="clear" w:pos="454"/>
        </w:tabs>
        <w:spacing w:afterLines="0" w:line="440" w:lineRule="atLeas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4.投标文件的有效期</w:t>
      </w:r>
    </w:p>
    <w:p>
      <w:pPr>
        <w:pStyle w:val="15"/>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w:t>
      </w:r>
      <w:r>
        <w:rPr>
          <w:rFonts w:hint="eastAsia" w:ascii="仿宋_GB2312" w:hAnsi="仿宋" w:eastAsia="仿宋_GB2312" w:cs="仿宋_GB2312"/>
          <w:color w:val="auto"/>
          <w:highlight w:val="none"/>
        </w:rPr>
        <w:t>投标有效期为从提交投标文件的截止之日起90天。</w:t>
      </w:r>
      <w:r>
        <w:rPr>
          <w:rFonts w:hint="eastAsia" w:ascii="仿宋_GB2312" w:hAnsi="仿宋" w:eastAsia="仿宋_GB2312" w:cs="仿宋_GB2312"/>
          <w:b/>
          <w:color w:val="auto"/>
          <w:highlight w:val="none"/>
        </w:rPr>
        <w:t>投标人的投标文件中承</w:t>
      </w:r>
      <w:r>
        <w:rPr>
          <w:rFonts w:hint="eastAsia" w:ascii="仿宋_GB2312" w:hAnsi="仿宋" w:eastAsia="仿宋_GB2312" w:cs="仿宋_GB2312"/>
          <w:b/>
          <w:color w:val="auto"/>
          <w:szCs w:val="21"/>
          <w:highlight w:val="none"/>
        </w:rPr>
        <w:t>诺的投标有效期少于招标文件中载明的投标有效期的，投标无效。</w:t>
      </w:r>
    </w:p>
    <w:p>
      <w:pPr>
        <w:pStyle w:val="15"/>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4.2在特殊情况下，招标人可与投标人协商延长投标书的有效期，这种要求和答复均以书面形式进行。</w:t>
      </w:r>
    </w:p>
    <w:p>
      <w:pPr>
        <w:pStyle w:val="15"/>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5.投标文件的规定</w:t>
      </w:r>
    </w:p>
    <w:p>
      <w:pPr>
        <w:pStyle w:val="24"/>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5.1投标文件由“商务技术（资信）文件资料”、“报价文件资料”两部分文件组成，应按统一格式填写。</w:t>
      </w:r>
    </w:p>
    <w:p>
      <w:pPr>
        <w:pStyle w:val="24"/>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5.2投标文件须按附件格式要求进行电子签章，投标人应写全称。</w:t>
      </w:r>
    </w:p>
    <w:p>
      <w:pPr>
        <w:pStyle w:val="24"/>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5.4投标文件因字迹潦草或表达不清所引起的后果由投标人负责。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auto"/>
          <w:sz w:val="24"/>
          <w:highlight w:val="none"/>
        </w:rPr>
      </w:pPr>
      <w:r>
        <w:rPr>
          <w:rFonts w:hint="eastAsia" w:ascii="仿宋_GB2312" w:hAnsi="宋体" w:eastAsia="仿宋_GB2312"/>
          <w:b/>
          <w:color w:val="auto"/>
          <w:sz w:val="24"/>
          <w:highlight w:val="none"/>
        </w:rPr>
        <w:t>6</w:t>
      </w:r>
      <w:r>
        <w:rPr>
          <w:rFonts w:hint="eastAsia" w:ascii="仿宋_GB2312" w:hAnsi="仿宋" w:eastAsia="仿宋_GB2312" w:cs="仿宋_GB2312"/>
          <w:b/>
          <w:color w:val="auto"/>
          <w:sz w:val="24"/>
          <w:highlight w:val="none"/>
        </w:rPr>
        <w:t>.投标文件的提交</w:t>
      </w:r>
    </w:p>
    <w:p>
      <w:pPr>
        <w:snapToGrid w:val="0"/>
        <w:spacing w:line="440" w:lineRule="exact"/>
        <w:ind w:firstLine="480" w:firstLineChars="200"/>
        <w:rPr>
          <w:rFonts w:ascii="仿宋_GB2312" w:eastAsia="仿宋_GB2312"/>
          <w:b/>
          <w:color w:val="auto"/>
          <w:sz w:val="24"/>
          <w:highlight w:val="none"/>
        </w:rPr>
      </w:pPr>
      <w:r>
        <w:rPr>
          <w:rFonts w:hint="eastAsia" w:ascii="仿宋_GB2312" w:eastAsia="仿宋_GB2312"/>
          <w:color w:val="auto"/>
          <w:sz w:val="24"/>
          <w:highlight w:val="none"/>
        </w:rPr>
        <w:t>投标人应按“招标公告”规定的时间、方式将投标文件提交给采购机构，</w:t>
      </w:r>
      <w:r>
        <w:rPr>
          <w:rFonts w:hint="eastAsia" w:ascii="仿宋_GB2312" w:eastAsia="仿宋_GB2312"/>
          <w:b/>
          <w:color w:val="auto"/>
          <w:sz w:val="24"/>
          <w:highlight w:val="none"/>
        </w:rPr>
        <w:t>采购机构将拒绝接受逾期提交的投标文件。</w:t>
      </w:r>
    </w:p>
    <w:p>
      <w:pPr>
        <w:widowControl/>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7．</w:t>
      </w:r>
      <w:r>
        <w:rPr>
          <w:rFonts w:hint="eastAsia" w:ascii="仿宋_GB2312" w:hAnsi="宋体" w:eastAsia="仿宋_GB2312"/>
          <w:b/>
          <w:color w:val="auto"/>
          <w:kern w:val="0"/>
          <w:sz w:val="24"/>
          <w:highlight w:val="none"/>
        </w:rPr>
        <w:t>投标文件的补充和修改</w:t>
      </w:r>
    </w:p>
    <w:p>
      <w:pPr>
        <w:spacing w:line="440" w:lineRule="exact"/>
        <w:ind w:firstLine="480" w:firstLineChars="200"/>
        <w:jc w:val="lef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四、开标和评标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1．电子招投标开标及评审程序</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1.1投标截止时间后，主持人宣布开标会开始。</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auto"/>
          <w:sz w:val="24"/>
          <w:highlight w:val="none"/>
        </w:rPr>
        <w:t>0</w:t>
      </w:r>
      <w:r>
        <w:rPr>
          <w:rFonts w:hint="eastAsia" w:ascii="仿宋_GB2312" w:hAnsi="宋体" w:eastAsia="仿宋_GB2312"/>
          <w:color w:val="auto"/>
          <w:sz w:val="24"/>
          <w:highlight w:val="none"/>
        </w:rPr>
        <w:t>分钟内。</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1.3评标委员会对资格和商务技术响应文件进行评审；</w:t>
      </w:r>
    </w:p>
    <w:p>
      <w:pPr>
        <w:snapToGrid w:val="0"/>
        <w:spacing w:line="440" w:lineRule="exact"/>
        <w:jc w:val="left"/>
        <w:rPr>
          <w:rFonts w:ascii="仿宋_GB2312" w:eastAsia="仿宋_GB2312"/>
          <w:color w:val="auto"/>
          <w:sz w:val="24"/>
          <w:highlight w:val="none"/>
        </w:rPr>
      </w:pPr>
      <w:r>
        <w:rPr>
          <w:rFonts w:hint="eastAsia" w:ascii="仿宋_GB2312" w:hAnsi="宋体" w:eastAsia="仿宋_GB2312"/>
          <w:color w:val="auto"/>
          <w:sz w:val="24"/>
          <w:highlight w:val="none"/>
        </w:rPr>
        <w:t>1.4主持人宣布商务技术得分及</w:t>
      </w:r>
      <w:r>
        <w:rPr>
          <w:rFonts w:hint="eastAsia" w:ascii="仿宋_GB2312" w:eastAsia="仿宋_GB2312"/>
          <w:color w:val="auto"/>
          <w:sz w:val="24"/>
          <w:highlight w:val="none"/>
        </w:rPr>
        <w:t>无效（废）投标情形</w:t>
      </w:r>
      <w:r>
        <w:rPr>
          <w:rFonts w:hint="eastAsia" w:ascii="仿宋_GB2312" w:hAnsi="宋体" w:eastAsia="仿宋_GB2312"/>
          <w:color w:val="auto"/>
          <w:sz w:val="24"/>
          <w:highlight w:val="none"/>
        </w:rPr>
        <w:t>（如有），</w:t>
      </w:r>
      <w:r>
        <w:rPr>
          <w:rFonts w:hint="eastAsia" w:ascii="仿宋_GB2312" w:hAnsi="Arial" w:eastAsia="仿宋_GB2312" w:cs="Arial"/>
          <w:color w:val="auto"/>
          <w:sz w:val="24"/>
          <w:highlight w:val="none"/>
        </w:rPr>
        <w:t>公布经商务技术（资信）评审符合招标文件要求的投标人名单及其商务技术得分。</w:t>
      </w:r>
    </w:p>
    <w:p>
      <w:pPr>
        <w:snapToGrid w:val="0"/>
        <w:spacing w:line="440" w:lineRule="exact"/>
        <w:jc w:val="left"/>
        <w:rPr>
          <w:rFonts w:ascii="仿宋_GB2312" w:hAnsi="宋体" w:eastAsia="仿宋_GB2312"/>
          <w:color w:val="auto"/>
          <w:sz w:val="24"/>
          <w:highlight w:val="none"/>
        </w:rPr>
      </w:pPr>
      <w:r>
        <w:rPr>
          <w:rFonts w:hint="eastAsia" w:ascii="仿宋_GB2312" w:eastAsia="仿宋_GB2312"/>
          <w:color w:val="auto"/>
          <w:sz w:val="24"/>
          <w:highlight w:val="none"/>
        </w:rPr>
        <w:t>1.5</w:t>
      </w:r>
      <w:r>
        <w:rPr>
          <w:rFonts w:hint="eastAsia" w:ascii="仿宋_GB2312" w:hAnsi="宋体" w:eastAsia="仿宋_GB2312"/>
          <w:color w:val="auto"/>
          <w:sz w:val="24"/>
          <w:highlight w:val="none"/>
        </w:rPr>
        <w:t>启封</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1.6评标委员会对投标文件</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进行评审，核准投标报价及计算价格分，汇总商务技术分、价格分，根据得分排序确定中标候选人。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1.7主持人公布评标结果。</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2.1电子交易平台发生故障而无法登录访问的； </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2.2电子交易平台应用或数据库出现错误，不能进行正常操作的；</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2.3电子交易平台发现严重安全漏洞，有潜在泄密危险的；</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2.4病毒发作导致不能进行正常操作的； </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2.5其他无法保证电子交易的公平、公正和安全的情况。</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3．评标</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olor w:val="auto"/>
          <w:sz w:val="24"/>
          <w:highlight w:val="none"/>
        </w:rPr>
        <w:t>3.1</w:t>
      </w:r>
      <w:r>
        <w:rPr>
          <w:rFonts w:hint="eastAsia" w:ascii="仿宋_GB2312" w:hAnsi="宋体" w:eastAsia="仿宋_GB2312" w:cs="宋体"/>
          <w:color w:val="auto"/>
          <w:sz w:val="24"/>
          <w:highlight w:val="none"/>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3.2评标委员会由采购人代表和有关方面的专家组成，成员人数为五人以上单数。</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3.3评标委员会负责对投标人资格的最终审定。</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供应商通过政采云平台交换的数据电文必须进行电子签章。</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3.6评</w:t>
      </w:r>
      <w:r>
        <w:rPr>
          <w:rFonts w:hint="eastAsia" w:ascii="仿宋_GB2312" w:hAnsi="宋体" w:eastAsia="仿宋_GB2312"/>
          <w:color w:val="auto"/>
          <w:sz w:val="24"/>
          <w:highlight w:val="none"/>
        </w:rPr>
        <w:t>标委员会</w:t>
      </w:r>
      <w:r>
        <w:rPr>
          <w:rFonts w:hint="eastAsia" w:ascii="仿宋_GB2312" w:hAnsi="宋体" w:eastAsia="仿宋_GB2312"/>
          <w:color w:val="auto"/>
          <w:kern w:val="0"/>
          <w:sz w:val="24"/>
          <w:highlight w:val="none"/>
        </w:rPr>
        <w:t>对投标文件的判定，只依据投标文件和招标文件内容本身，不依据任何外来证明。</w:t>
      </w:r>
    </w:p>
    <w:p>
      <w:pPr>
        <w:widowControl/>
        <w:snapToGrid w:val="0"/>
        <w:spacing w:line="440" w:lineRule="exact"/>
        <w:rPr>
          <w:rFonts w:ascii="仿宋_GB2312" w:hAnsi="宋体" w:eastAsia="仿宋_GB2312"/>
          <w:color w:val="auto"/>
          <w:kern w:val="0"/>
          <w:sz w:val="24"/>
          <w:highlight w:val="none"/>
        </w:rPr>
      </w:pPr>
      <w:r>
        <w:rPr>
          <w:rFonts w:hint="eastAsia" w:ascii="仿宋_GB2312" w:hAnsi="宋体" w:eastAsia="仿宋_GB2312" w:cs="宋体"/>
          <w:color w:val="auto"/>
          <w:sz w:val="24"/>
          <w:highlight w:val="none"/>
        </w:rPr>
        <w:t>3.7评标委员会不向落标方解释落标的原因。</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4．投标文件的初审鉴定</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4.1资格性审查</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4.2符合性审查</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highlight w:val="none"/>
        </w:rPr>
        <w:t>评标委员会决定投标文件的响应性只根据投标文件本身的内容，而不寻求外部证据。</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b/>
          <w:color w:val="auto"/>
          <w:kern w:val="0"/>
          <w:sz w:val="24"/>
          <w:highlight w:val="none"/>
        </w:rPr>
        <w:t xml:space="preserve">5. </w:t>
      </w:r>
      <w:r>
        <w:rPr>
          <w:rFonts w:hint="eastAsia" w:ascii="仿宋_GB2312" w:hAnsi="宋体" w:eastAsia="仿宋_GB2312" w:cs="宋体"/>
          <w:b/>
          <w:color w:val="auto"/>
          <w:sz w:val="24"/>
          <w:highlight w:val="none"/>
        </w:rPr>
        <w:t>投标文件报价出现前后不一致的，按照下列规定修正：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5.2大写金额和小写金额不一致的，以大写金额为准；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同时出现两种以上不一致的，按照前款规定的顺序修正。</w:t>
      </w:r>
      <w:r>
        <w:rPr>
          <w:rFonts w:hint="eastAsia" w:ascii="仿宋_GB2312" w:hAnsi="仿宋_GB2312" w:eastAsia="仿宋_GB2312" w:cs="仿宋_GB2312"/>
          <w:bCs/>
          <w:color w:val="auto"/>
          <w:sz w:val="24"/>
          <w:highlight w:val="none"/>
        </w:rPr>
        <w:t>修正后的报价按照财政部公布第87号令 《政府采购货物和服务招标投标管理办法》</w:t>
      </w:r>
      <w:r>
        <w:rPr>
          <w:rFonts w:hint="eastAsia" w:ascii="仿宋_GB2312" w:hAnsi="宋体" w:eastAsia="仿宋_GB2312" w:cs="宋体"/>
          <w:color w:val="auto"/>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6.投标文件的评审、比较和否决</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6.1评标委员会将对在实质上响应招标文件要求的投标文件进行评估和比较。</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highlight w:val="none"/>
        </w:rPr>
        <w:t>不得超过投标文件的范围或者改变投标文件的实质性内容。</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6.3在评标过程中，如发现与招标文件要求相偏离的，评标委员会可对其偏离情形进行必要的核实。</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6.5</w:t>
      </w:r>
      <w:r>
        <w:rPr>
          <w:rFonts w:ascii="仿宋_GB2312" w:hAnsi="宋体" w:eastAsia="仿宋_GB2312" w:cs="宋体"/>
          <w:color w:val="auto"/>
          <w:sz w:val="24"/>
          <w:highlight w:val="none"/>
        </w:rPr>
        <w:t>比较与评价</w:t>
      </w:r>
      <w:r>
        <w:rPr>
          <w:rFonts w:hint="eastAsia" w:ascii="仿宋_GB2312" w:hAnsi="宋体" w:eastAsia="仿宋_GB2312" w:cs="宋体"/>
          <w:color w:val="auto"/>
          <w:sz w:val="24"/>
          <w:highlight w:val="none"/>
        </w:rPr>
        <w:t>。评</w:t>
      </w:r>
      <w:r>
        <w:rPr>
          <w:rFonts w:ascii="仿宋_GB2312" w:hAnsi="宋体" w:eastAsia="仿宋_GB2312" w:cs="宋体"/>
          <w:color w:val="auto"/>
          <w:sz w:val="24"/>
          <w:highlight w:val="none"/>
        </w:rPr>
        <w:t>标委员会应当按照评标标准，对符合性审查合格的投标文件进行商务和技术评估，综合比较与评价。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6.6</w:t>
      </w:r>
      <w:r>
        <w:rPr>
          <w:rFonts w:ascii="仿宋_GB2312" w:hAnsi="宋体" w:eastAsia="仿宋_GB2312" w:cs="宋体"/>
          <w:color w:val="auto"/>
          <w:sz w:val="24"/>
          <w:highlight w:val="none"/>
        </w:rPr>
        <w:t>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评标委员会各成员应当独立对每个投标人的</w:t>
      </w:r>
      <w:r>
        <w:rPr>
          <w:rFonts w:hint="eastAsia" w:ascii="仿宋_GB2312" w:hAnsi="宋体" w:eastAsia="仿宋_GB2312" w:cs="宋体"/>
          <w:color w:val="auto"/>
          <w:sz w:val="24"/>
          <w:highlight w:val="none"/>
        </w:rPr>
        <w:t>商务技术（资信）文件</w:t>
      </w:r>
      <w:r>
        <w:rPr>
          <w:rFonts w:ascii="仿宋_GB2312" w:hAnsi="宋体" w:eastAsia="仿宋_GB2312" w:cs="宋体"/>
          <w:color w:val="auto"/>
          <w:sz w:val="24"/>
          <w:highlight w:val="none"/>
        </w:rPr>
        <w:t>进行评价，并汇总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6.7.3如需投标价格修正，按财政部87号令第五十九条的规定对投标价格进行修正。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6.8评标委员会依据招标文件规定的评标标准和方法，对投标文件进行评审和比较后，向本代理机构提供书面评标报告，并按得分高低排序推荐中标候选供应商。</w:t>
      </w:r>
    </w:p>
    <w:p>
      <w:pPr>
        <w:pStyle w:val="15"/>
        <w:widowControl w:val="0"/>
        <w:tabs>
          <w:tab w:val="clear" w:pos="454"/>
        </w:tabs>
        <w:spacing w:afterLines="0" w:line="440" w:lineRule="exact"/>
        <w:ind w:left="0" w:firstLine="0"/>
        <w:rPr>
          <w:rFonts w:ascii="仿宋_GB2312" w:hAnsi="宋体" w:eastAsia="仿宋_GB2312"/>
          <w:b/>
          <w:color w:val="auto"/>
          <w:highlight w:val="none"/>
        </w:rPr>
      </w:pPr>
      <w:r>
        <w:rPr>
          <w:rFonts w:hint="eastAsia" w:ascii="仿宋_GB2312" w:hAnsi="宋体" w:eastAsia="仿宋_GB2312"/>
          <w:b/>
          <w:color w:val="auto"/>
          <w:highlight w:val="none"/>
        </w:rPr>
        <w:t>7.投标文件的澄清</w:t>
      </w:r>
    </w:p>
    <w:p>
      <w:pPr>
        <w:pStyle w:val="15"/>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投标文件有下列情形之一的作无效投标处理：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8.1未按照招标文件规定要求电子签章、签字或盖章的；</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8.7授权代表非投标单位正式职工的（以</w:t>
      </w:r>
      <w:r>
        <w:rPr>
          <w:rFonts w:ascii="仿宋_GB2312" w:hAnsi="宋体" w:eastAsia="仿宋_GB2312"/>
          <w:b/>
          <w:color w:val="auto"/>
          <w:kern w:val="0"/>
          <w:sz w:val="24"/>
          <w:highlight w:val="none"/>
        </w:rPr>
        <w:t>社保证明</w:t>
      </w:r>
      <w:r>
        <w:rPr>
          <w:rFonts w:hint="eastAsia" w:ascii="仿宋_GB2312" w:hAnsi="宋体" w:eastAsia="仿宋_GB2312"/>
          <w:b/>
          <w:color w:val="auto"/>
          <w:kern w:val="0"/>
          <w:sz w:val="24"/>
          <w:highlight w:val="none"/>
        </w:rPr>
        <w:t>为准，如授权代表为</w:t>
      </w:r>
      <w:r>
        <w:rPr>
          <w:rFonts w:ascii="仿宋_GB2312" w:hAnsi="宋体" w:eastAsia="仿宋_GB2312"/>
          <w:b/>
          <w:color w:val="auto"/>
          <w:kern w:val="0"/>
          <w:sz w:val="24"/>
          <w:highlight w:val="none"/>
        </w:rPr>
        <w:t>离退休返聘人员的，</w:t>
      </w:r>
      <w:r>
        <w:rPr>
          <w:rFonts w:hint="eastAsia" w:ascii="仿宋_GB2312" w:hAnsi="宋体" w:eastAsia="仿宋_GB2312"/>
          <w:b/>
          <w:color w:val="auto"/>
          <w:kern w:val="0"/>
          <w:sz w:val="24"/>
          <w:highlight w:val="none"/>
        </w:rPr>
        <w:t>需提供</w:t>
      </w:r>
      <w:r>
        <w:rPr>
          <w:rFonts w:ascii="仿宋_GB2312" w:hAnsi="宋体" w:eastAsia="仿宋_GB2312"/>
          <w:b/>
          <w:color w:val="auto"/>
          <w:kern w:val="0"/>
          <w:sz w:val="24"/>
          <w:highlight w:val="none"/>
        </w:rPr>
        <w:t>退休证明及单位聘用证明</w:t>
      </w:r>
      <w:r>
        <w:rPr>
          <w:rFonts w:hint="eastAsia" w:ascii="仿宋_GB2312" w:hAnsi="宋体" w:eastAsia="仿宋_GB2312"/>
          <w:b/>
          <w:color w:val="auto"/>
          <w:kern w:val="0"/>
          <w:sz w:val="24"/>
          <w:highlight w:val="none"/>
        </w:rPr>
        <w:t>），法定代表人及个体工商户除外；</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8.9报</w:t>
      </w:r>
      <w:r>
        <w:rPr>
          <w:rFonts w:hint="eastAsia" w:ascii="仿宋_GB2312" w:hAnsi="宋体" w:eastAsia="仿宋_GB2312"/>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8.10</w:t>
      </w:r>
      <w:r>
        <w:rPr>
          <w:rFonts w:hint="eastAsia" w:ascii="仿宋_GB2312" w:hAnsi="宋体" w:eastAsia="仿宋_GB2312"/>
          <w:b/>
          <w:color w:val="auto"/>
          <w:sz w:val="24"/>
          <w:highlight w:val="none"/>
        </w:rPr>
        <w:t>未按招标文件规定的格式填写，或</w:t>
      </w:r>
      <w:r>
        <w:rPr>
          <w:rFonts w:hint="eastAsia" w:ascii="仿宋_GB2312" w:hAnsi="宋体" w:eastAsia="仿宋_GB2312"/>
          <w:b/>
          <w:color w:val="auto"/>
          <w:sz w:val="24"/>
          <w:szCs w:val="20"/>
          <w:highlight w:val="none"/>
        </w:rPr>
        <w:t>对招标</w:t>
      </w:r>
      <w:r>
        <w:rPr>
          <w:rFonts w:hint="eastAsia" w:ascii="仿宋_GB2312" w:hAnsi="宋体" w:eastAsia="仿宋_GB2312"/>
          <w:b/>
          <w:color w:val="auto"/>
          <w:sz w:val="24"/>
          <w:highlight w:val="none"/>
        </w:rPr>
        <w:t>服务或技术或产品等要求</w:t>
      </w:r>
      <w:r>
        <w:rPr>
          <w:rFonts w:hint="eastAsia" w:ascii="仿宋_GB2312" w:hAnsi="宋体" w:eastAsia="仿宋_GB2312"/>
          <w:b/>
          <w:color w:val="auto"/>
          <w:sz w:val="24"/>
          <w:szCs w:val="20"/>
          <w:highlight w:val="none"/>
        </w:rPr>
        <w:t>未详细应答或应答</w:t>
      </w:r>
      <w:r>
        <w:rPr>
          <w:rFonts w:hint="eastAsia" w:ascii="仿宋_GB2312" w:hAnsi="宋体" w:eastAsia="仿宋_GB2312"/>
          <w:b/>
          <w:color w:val="auto"/>
          <w:sz w:val="24"/>
          <w:highlight w:val="none"/>
        </w:rPr>
        <w:t>内容不全、有缺失的,经评标委员会认定为无法评审的；</w:t>
      </w:r>
    </w:p>
    <w:p>
      <w:pPr>
        <w:pStyle w:val="24"/>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8.11出现同一标的物或本次招标产品(服务)内的主要产品(重要组成部分)出现</w:t>
      </w:r>
      <w:r>
        <w:rPr>
          <w:rFonts w:hint="eastAsia" w:ascii="仿宋_GB2312" w:hAnsi="宋体" w:eastAsia="仿宋_GB2312"/>
          <w:b/>
          <w:color w:val="auto"/>
          <w:sz w:val="24"/>
          <w:highlight w:val="none"/>
        </w:rPr>
        <w:t>商务技术（资信）文件资料</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报价文件资料</w:t>
      </w:r>
      <w:r>
        <w:rPr>
          <w:rFonts w:hint="eastAsia" w:ascii="仿宋_GB2312" w:hAnsi="宋体" w:eastAsia="仿宋_GB2312"/>
          <w:b/>
          <w:color w:val="auto"/>
          <w:sz w:val="24"/>
          <w:szCs w:val="24"/>
          <w:highlight w:val="none"/>
        </w:rPr>
        <w:t>描述不一致或前后描述不一致，经评标委员会认定后为无法评审的；</w:t>
      </w:r>
    </w:p>
    <w:p>
      <w:pPr>
        <w:pStyle w:val="24"/>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8.12《技</w:t>
      </w:r>
      <w:r>
        <w:rPr>
          <w:rFonts w:hint="eastAsia" w:ascii="仿宋_GB2312" w:hAnsi="宋体" w:eastAsia="仿宋_GB2312"/>
          <w:b/>
          <w:color w:val="auto"/>
          <w:sz w:val="24"/>
          <w:highlight w:val="none"/>
        </w:rPr>
        <w:t>术偏离说明表</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8.13投</w:t>
      </w:r>
      <w:r>
        <w:rPr>
          <w:rFonts w:hint="eastAsia" w:ascii="仿宋_GB2312" w:hAnsi="宋体" w:eastAsia="仿宋_GB2312"/>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8.14评</w:t>
      </w:r>
      <w:r>
        <w:rPr>
          <w:rFonts w:hint="eastAsia" w:ascii="仿宋_GB2312" w:hAnsi="宋体" w:eastAsia="仿宋_GB2312"/>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color w:val="auto"/>
          <w:sz w:val="24"/>
          <w:highlight w:val="none"/>
        </w:rPr>
      </w:pPr>
      <w:r>
        <w:rPr>
          <w:rFonts w:hint="eastAsia" w:ascii="仿宋_GB2312" w:hAnsi="宋体" w:eastAsia="仿宋_GB2312"/>
          <w:b/>
          <w:color w:val="auto"/>
          <w:sz w:val="24"/>
          <w:highlight w:val="none"/>
        </w:rPr>
        <w:t>8.15报</w:t>
      </w:r>
      <w:r>
        <w:rPr>
          <w:rFonts w:hint="eastAsia" w:ascii="仿宋_GB2312" w:eastAsia="仿宋_GB2312"/>
          <w:b/>
          <w:color w:val="auto"/>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8.20.2提供虚假的财务状况或者业绩；</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8.22有下列情形之一的，属于恶意串通，其投标无效：</w:t>
      </w:r>
    </w:p>
    <w:p>
      <w:pPr>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8.22.1</w:t>
      </w:r>
      <w:r>
        <w:rPr>
          <w:rFonts w:hint="eastAsia" w:ascii="仿宋_GB2312" w:hAnsi="仿宋" w:eastAsia="仿宋_GB2312" w:cs="仿宋_GB2312"/>
          <w:color w:val="auto"/>
          <w:sz w:val="24"/>
          <w:highlight w:val="none"/>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8.22.3供应商之间协商报价、技术方案等投标文件或者响应文件的实质性内容；</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8.22.5供应商之间事先约定由某一特定供应商中标、成交；</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仿宋_GB2312" w:eastAsia="仿宋_GB2312" w:cs="仿宋_GB2312"/>
          <w:b/>
          <w:color w:val="auto"/>
          <w:sz w:val="24"/>
          <w:szCs w:val="21"/>
          <w:highlight w:val="none"/>
        </w:rPr>
        <w:t>8.23</w:t>
      </w:r>
      <w:r>
        <w:rPr>
          <w:rFonts w:hint="eastAsia" w:ascii="仿宋_GB2312" w:hAnsi="宋体" w:eastAsia="仿宋_GB2312"/>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8.24投标文件出现不是唯一的、有选择性投标报价的；</w:t>
      </w:r>
    </w:p>
    <w:p>
      <w:pPr>
        <w:spacing w:line="440" w:lineRule="exact"/>
        <w:rPr>
          <w:color w:val="auto"/>
          <w:highlight w:val="none"/>
        </w:rPr>
      </w:pPr>
      <w:r>
        <w:rPr>
          <w:rFonts w:hint="eastAsia" w:ascii="仿宋_GB2312" w:eastAsia="仿宋_GB2312"/>
          <w:b/>
          <w:color w:val="auto"/>
          <w:sz w:val="24"/>
          <w:highlight w:val="none"/>
        </w:rPr>
        <w:t>8.25</w:t>
      </w:r>
      <w:r>
        <w:rPr>
          <w:rFonts w:hint="eastAsia" w:ascii="仿宋_GB2312" w:hAnsi="宋体" w:eastAsia="仿宋_GB2312"/>
          <w:b/>
          <w:color w:val="auto"/>
          <w:sz w:val="24"/>
          <w:highlight w:val="none"/>
        </w:rPr>
        <w:t>其他违反法律、法规的情形。</w:t>
      </w:r>
    </w:p>
    <w:p>
      <w:pPr>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 评标过程保密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9.1</w:t>
      </w:r>
      <w:r>
        <w:rPr>
          <w:rFonts w:hint="eastAsia" w:ascii="仿宋_GB2312" w:hAnsi="仿宋"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9.2 在评标期间，投标人企图影响招标人或</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的任何活动，都将导致投标被拒绝，并由其承担相应的法律责任。</w:t>
      </w:r>
    </w:p>
    <w:p>
      <w:pPr>
        <w:pStyle w:val="24"/>
        <w:spacing w:line="800" w:lineRule="exact"/>
        <w:ind w:firstLine="726"/>
        <w:jc w:val="center"/>
        <w:rPr>
          <w:rFonts w:ascii="仿宋_GB2312" w:hAnsi="宋体" w:eastAsia="仿宋_GB2312"/>
          <w:b/>
          <w:color w:val="auto"/>
          <w:sz w:val="36"/>
          <w:szCs w:val="36"/>
          <w:highlight w:val="none"/>
        </w:rPr>
      </w:pPr>
      <w:bookmarkStart w:id="4" w:name="_Toc84325929"/>
      <w:bookmarkStart w:id="5" w:name="_Toc81372776"/>
      <w:bookmarkStart w:id="6" w:name="_Toc81372953"/>
      <w:r>
        <w:rPr>
          <w:rFonts w:hint="eastAsia" w:ascii="仿宋_GB2312" w:hAnsi="宋体" w:eastAsia="仿宋_GB2312"/>
          <w:b/>
          <w:color w:val="auto"/>
          <w:sz w:val="36"/>
          <w:szCs w:val="36"/>
          <w:highlight w:val="none"/>
        </w:rPr>
        <w:t>五、授予合同</w:t>
      </w:r>
    </w:p>
    <w:p>
      <w:pPr>
        <w:pStyle w:val="15"/>
        <w:tabs>
          <w:tab w:val="clear" w:pos="454"/>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1.中标条件</w:t>
      </w:r>
    </w:p>
    <w:p>
      <w:pPr>
        <w:pStyle w:val="15"/>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1.1投标文件基本符合招标文件要求；</w:t>
      </w:r>
    </w:p>
    <w:p>
      <w:pPr>
        <w:pStyle w:val="15"/>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1.2投标人有很好的执行合同的能力；</w:t>
      </w:r>
    </w:p>
    <w:p>
      <w:pPr>
        <w:pStyle w:val="15"/>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1.4投标人能够提供质量技术、商务经济占综合优势的系统及服务。</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2.中标确认</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3．中标通知</w:t>
      </w:r>
    </w:p>
    <w:p>
      <w:pPr>
        <w:pStyle w:val="165"/>
        <w:tabs>
          <w:tab w:val="left" w:pos="0"/>
        </w:tabs>
        <w:spacing w:before="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3.1</w:t>
      </w:r>
      <w:r>
        <w:rPr>
          <w:rFonts w:hint="eastAsia" w:ascii="仿宋_GB2312" w:hAnsi="Helvetica" w:eastAsia="仿宋_GB2312" w:cs="Helvetica"/>
          <w:color w:val="auto"/>
          <w:kern w:val="0"/>
          <w:highlight w:val="none"/>
        </w:rPr>
        <w:t>采购代理机构</w:t>
      </w:r>
      <w:r>
        <w:rPr>
          <w:rFonts w:hint="eastAsia" w:ascii="仿宋_GB2312" w:hAnsi="宋体" w:eastAsia="仿宋_GB2312"/>
          <w:color w:val="auto"/>
          <w:highlight w:val="none"/>
        </w:rPr>
        <w:t>对中标结果在指定媒体</w:t>
      </w:r>
      <w:r>
        <w:rPr>
          <w:rFonts w:hint="eastAsia" w:ascii="仿宋_GB2312" w:hAnsi="Helvetica" w:eastAsia="仿宋_GB2312" w:cs="Helvetica"/>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50"/>
          <w:rFonts w:hint="eastAsia" w:ascii="仿宋_GB2312" w:hAnsi="Helvetica" w:eastAsia="仿宋_GB2312" w:cs="Helvetica"/>
          <w:color w:val="auto"/>
          <w:kern w:val="0"/>
          <w:highlight w:val="none"/>
        </w:rPr>
        <w:t>http://zfcg.czt.zj.gov.cn/</w:t>
      </w:r>
      <w:r>
        <w:rPr>
          <w:rStyle w:val="50"/>
          <w:rFonts w:hint="eastAsia" w:ascii="仿宋_GB2312" w:hAnsi="Helvetica" w:eastAsia="仿宋_GB2312" w:cs="Helvetica"/>
          <w:color w:val="auto"/>
          <w:kern w:val="0"/>
          <w:highlight w:val="none"/>
        </w:rPr>
        <w:fldChar w:fldCharType="end"/>
      </w:r>
      <w:r>
        <w:rPr>
          <w:rFonts w:hint="eastAsia" w:ascii="仿宋_GB2312" w:hAnsi="Helvetica" w:eastAsia="仿宋_GB2312" w:cs="Helvetica"/>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50"/>
          <w:rFonts w:hint="eastAsia" w:ascii="仿宋_GB2312"/>
          <w:color w:val="auto"/>
          <w:highlight w:val="none"/>
        </w:rPr>
        <w:t>http://ggb.sx.gov.cn</w:t>
      </w:r>
      <w:r>
        <w:rPr>
          <w:rStyle w:val="50"/>
          <w:rFonts w:hint="eastAsia" w:ascii="仿宋_GB2312"/>
          <w:color w:val="auto"/>
          <w:highlight w:val="none"/>
        </w:rPr>
        <w:fldChar w:fldCharType="end"/>
      </w:r>
      <w:r>
        <w:rPr>
          <w:rFonts w:hint="eastAsia" w:ascii="仿宋_GB2312" w:hAnsi="Helvetica" w:eastAsia="仿宋_GB2312" w:cs="Helvetica"/>
          <w:color w:val="auto"/>
          <w:kern w:val="0"/>
          <w:highlight w:val="none"/>
        </w:rPr>
        <w:t>）发布中标公告，中标公告期限为1个工作日。</w:t>
      </w:r>
    </w:p>
    <w:p>
      <w:pPr>
        <w:tabs>
          <w:tab w:val="left" w:pos="0"/>
        </w:tabs>
        <w:spacing w:line="440" w:lineRule="exact"/>
        <w:rPr>
          <w:rFonts w:ascii="仿宋_GB2312" w:eastAsia="仿宋_GB2312" w:cs="仿宋_GB2312"/>
          <w:color w:val="auto"/>
          <w:kern w:val="0"/>
          <w:sz w:val="24"/>
          <w:highlight w:val="none"/>
          <w:lang w:val="zh-CN"/>
        </w:rPr>
      </w:pPr>
      <w:r>
        <w:rPr>
          <w:rFonts w:hint="eastAsia" w:ascii="仿宋_GB2312" w:hAnsi="宋体" w:eastAsia="仿宋_GB2312"/>
          <w:color w:val="auto"/>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auto"/>
          <w:sz w:val="24"/>
          <w:highlight w:val="none"/>
        </w:rPr>
        <w:t>采购代理机构</w:t>
      </w:r>
      <w:r>
        <w:rPr>
          <w:rFonts w:hint="eastAsia" w:ascii="仿宋_GB2312" w:hAnsi="宋体" w:eastAsia="仿宋_GB2312"/>
          <w:color w:val="auto"/>
          <w:sz w:val="24"/>
          <w:highlight w:val="none"/>
        </w:rPr>
        <w:t>发出中标通知书前，中标供应商如有违反有关法律法规和本项目要求行为的，则取消该投标人的中标资格</w:t>
      </w:r>
      <w:r>
        <w:rPr>
          <w:rFonts w:hint="eastAsia" w:ascii="仿宋_GB2312" w:eastAsia="仿宋_GB2312" w:cs="仿宋_GB2312"/>
          <w:color w:val="auto"/>
          <w:kern w:val="0"/>
          <w:sz w:val="24"/>
          <w:highlight w:val="none"/>
          <w:lang w:val="zh-CN"/>
        </w:rPr>
        <w:t>。</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3.3采购代理机构对中标结果不作任何说明和解释，也不回答任何提问。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4.2</w:t>
      </w:r>
      <w:r>
        <w:rPr>
          <w:rFonts w:ascii="仿宋_GB2312" w:hAnsi="宋体" w:eastAsia="仿宋_GB2312"/>
          <w:color w:val="auto"/>
          <w:sz w:val="24"/>
          <w:highlight w:val="none"/>
        </w:rPr>
        <w:t>项目验收结束</w:t>
      </w:r>
      <w:r>
        <w:rPr>
          <w:rFonts w:hint="eastAsia" w:ascii="仿宋_GB2312" w:hAnsi="宋体" w:eastAsia="仿宋_GB2312"/>
          <w:color w:val="auto"/>
          <w:sz w:val="24"/>
          <w:highlight w:val="none"/>
        </w:rPr>
        <w:t>后，采购人应及时退还履约保证金。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4.3供应商以银行、保险公司出具保函形式提交履约保证金的，采购人不得拒收。</w:t>
      </w:r>
    </w:p>
    <w:p>
      <w:pPr>
        <w:spacing w:line="440" w:lineRule="exact"/>
        <w:jc w:val="left"/>
        <w:rPr>
          <w:rFonts w:ascii="仿宋_GB2312" w:hAnsi="宋体" w:eastAsia="仿宋_GB2312"/>
          <w:color w:val="auto"/>
          <w:sz w:val="24"/>
          <w:highlight w:val="none"/>
        </w:rPr>
      </w:pPr>
      <w:r>
        <w:rPr>
          <w:rFonts w:ascii="仿宋_GB2312" w:hAnsi="宋体" w:eastAsia="仿宋_GB2312"/>
          <w:color w:val="auto"/>
          <w:sz w:val="24"/>
          <w:highlight w:val="none"/>
        </w:rPr>
        <w:t>4.4政府采购货物和服务项目不得收取质量保证金。</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5．合同签订及备案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5.1中标人应当在中标通知书发出之日起30天内与采购人签订合同，自采购合同签订之日起</w:t>
      </w:r>
      <w:r>
        <w:rPr>
          <w:rFonts w:hint="eastAsia" w:ascii="仿宋_GB2312" w:hAnsi="宋体" w:eastAsia="仿宋_GB2312"/>
          <w:b/>
          <w:color w:val="auto"/>
          <w:sz w:val="24"/>
          <w:highlight w:val="none"/>
        </w:rPr>
        <w:t>3个工作日内</w:t>
      </w:r>
      <w:r>
        <w:rPr>
          <w:rFonts w:hint="eastAsia" w:ascii="仿宋_GB2312" w:hAnsi="宋体" w:eastAsia="仿宋_GB2312"/>
          <w:color w:val="auto"/>
          <w:sz w:val="24"/>
          <w:highlight w:val="none"/>
        </w:rPr>
        <w:t>，通过电子交易平台进行备案。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5.2如中标人为联合体的，由联合体成员各方法定代表人或其授权代表与采购人代表签订合同。</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6.验收</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售后服务考核</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pStyle w:val="24"/>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六、质疑与投诉</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440" w:lineRule="exact"/>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1.供应商询问</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440" w:lineRule="exact"/>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2.供应商质疑</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（2）对采购过程提出质疑的，质疑期限为各采购程序环节结束之日起计算。</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（3）对采购结果提出质疑的，质疑期限自采购结果公告（包括公示、预公告、结果变更公告等）期限届满之日起计算。</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（4）供应商应在法定质疑期内一次性提出针对同一采购程序环节的质疑。</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3.供应商提交提出质疑应当提交质疑书和必要的证明材料，质疑书需一式三份，质疑书至少应包括下列主要内容：</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（1）质疑人的名称、地址、邮政编码、联系人、联系电话，以及被质疑人名称及联系方式；</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（2）被质疑采购项目名称、编号及采购内容；</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（3）具体、明确的质疑事项和与质疑事项相关的请求</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（4）事实依据；</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（5）必要的法律依据；</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（6）认为自己合法权益受到损害或可能受到损害的相关证据材料；</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（7）提出质疑的日期。</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（9） 质疑人因故不能自行办理质疑事项的，可以委托代理人办理质疑事宜，但应当向被质疑人提交授权委托书，并载明委托代理的具体权限和事项。</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（10）质疑人提供的相关材料中有外文资料的，应当将与质疑相关的外文资料完整、客观、真实地翻译为中文，并注明翻译人员姓名、工作单位、联系方式等信息。</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rPr>
        <w:tab/>
      </w:r>
      <w:r>
        <w:rPr>
          <w:rFonts w:hint="eastAsia" w:ascii="仿宋_GB2312" w:hAnsi="仿宋" w:eastAsia="仿宋_GB2312"/>
          <w:color w:val="auto"/>
          <w:sz w:val="24"/>
          <w:highlight w:val="none"/>
        </w:rPr>
        <w:t>原则上由采购人回复的质疑：</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（1）对采购文件中特定资格条件、采购需求、评分办法提出的质疑；</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（2）对采购过程中有关现场考察或开标前答疑会事项提出的质疑。</w:t>
      </w:r>
    </w:p>
    <w:p>
      <w:pPr>
        <w:pStyle w:val="24"/>
        <w:spacing w:line="440" w:lineRule="exact"/>
        <w:ind w:firstLine="720" w:firstLineChars="300"/>
        <w:rPr>
          <w:rFonts w:ascii="仿宋_GB2312" w:hAnsi="仿宋" w:eastAsia="仿宋_GB2312"/>
          <w:color w:val="auto"/>
          <w:sz w:val="24"/>
          <w:highlight w:val="none"/>
        </w:rPr>
      </w:pPr>
      <w:r>
        <w:rPr>
          <w:rFonts w:hint="eastAsia" w:ascii="仿宋_GB2312" w:hAnsi="仿宋" w:eastAsia="仿宋_GB2312"/>
          <w:color w:val="auto"/>
          <w:sz w:val="24"/>
          <w:highlight w:val="none"/>
        </w:rPr>
        <w:t>原则上由采购代理机构回复的质疑：</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（1）除特定资格条件、采购需求、评分办法外，对采购文件中其他内容提出的质疑；</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（2）除有关现场考察或开标前答疑会事项外，对采购过程中其它事项提出的质疑；</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（3）对采购结果提出的质疑。</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6.询问或者质疑事项可能影响采购结果的，采购人应当暂停签订合同，已经签订合同的，应当中止履行合同。</w:t>
      </w:r>
    </w:p>
    <w:p>
      <w:pPr>
        <w:pStyle w:val="24"/>
        <w:spacing w:line="440" w:lineRule="exact"/>
        <w:ind w:firstLine="480" w:firstLineChars="200"/>
        <w:rPr>
          <w:rFonts w:ascii="仿宋_GB2312" w:hAnsi="仿宋" w:eastAsia="仿宋_GB2312"/>
          <w:color w:val="auto"/>
          <w:sz w:val="24"/>
          <w:highlight w:val="none"/>
        </w:rPr>
      </w:pPr>
      <w:r>
        <w:rPr>
          <w:rFonts w:hint="eastAsia" w:ascii="仿宋_GB2312" w:hAnsi="宋体" w:eastAsia="仿宋_GB2312" w:cs="宋体"/>
          <w:color w:val="auto"/>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40" w:lineRule="exact"/>
        <w:jc w:val="left"/>
        <w:rPr>
          <w:rFonts w:ascii="仿宋_GB2312" w:hAnsi="宋体" w:eastAsia="仿宋_GB2312"/>
          <w:b/>
          <w:color w:val="auto"/>
          <w:sz w:val="24"/>
          <w:highlight w:val="none"/>
        </w:rPr>
      </w:pPr>
      <w:bookmarkStart w:id="7" w:name="_Toc151354173"/>
      <w:bookmarkStart w:id="8" w:name="_Toc80157775"/>
      <w:bookmarkStart w:id="9" w:name="_Toc81372964"/>
      <w:bookmarkStart w:id="10" w:name="_Toc81372787"/>
      <w:bookmarkStart w:id="11" w:name="_Toc84325981"/>
      <w:r>
        <w:rPr>
          <w:rFonts w:hint="eastAsia" w:ascii="仿宋_GB2312" w:hAnsi="宋体" w:eastAsia="仿宋_GB2312"/>
          <w:b/>
          <w:color w:val="auto"/>
          <w:sz w:val="24"/>
          <w:highlight w:val="none"/>
        </w:rPr>
        <w:t>1.招标项目设备名称及数量：</w:t>
      </w:r>
    </w:p>
    <w:p>
      <w:pPr>
        <w:spacing w:line="440" w:lineRule="exact"/>
        <w:ind w:right="420"/>
        <w:rPr>
          <w:rFonts w:hint="eastAsia" w:ascii="仿宋_GB2312" w:hAnsi="新宋体" w:eastAsia="仿宋_GB2312" w:cs="Arial"/>
          <w:b/>
          <w:bCs/>
          <w:color w:val="auto"/>
          <w:sz w:val="24"/>
          <w:highlight w:val="none"/>
          <w:lang w:eastAsia="zh-CN"/>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bdr w:val="single" w:color="auto" w:sz="4" w:space="0"/>
          <w:lang w:eastAsia="zh-CN"/>
        </w:rPr>
        <w:t>绍兴市口腔医院关于影像归档和通信系统建设项目</w:t>
      </w:r>
    </w:p>
    <w:p>
      <w:pPr>
        <w:pStyle w:val="5"/>
        <w:pageBreakBefore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12" w:name="_Toc424908959"/>
      <w:bookmarkStart w:id="13" w:name="_Toc430088675"/>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PACS</w:t>
      </w:r>
      <w:r>
        <w:rPr>
          <w:rFonts w:hint="eastAsia" w:ascii="仿宋" w:hAnsi="仿宋" w:eastAsia="仿宋" w:cs="仿宋"/>
          <w:color w:val="auto"/>
          <w:sz w:val="24"/>
          <w:szCs w:val="24"/>
          <w:highlight w:val="none"/>
        </w:rPr>
        <w:t>核心服务系统</w:t>
      </w:r>
      <w:bookmarkEnd w:id="12"/>
      <w:bookmarkEnd w:id="13"/>
    </w:p>
    <w:p>
      <w:pPr>
        <w:pStyle w:val="163"/>
        <w:pageBreakBefore w:val="0"/>
        <w:numPr>
          <w:ilvl w:val="0"/>
          <w:numId w:val="6"/>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bookmarkStart w:id="14" w:name="_Toc424908960"/>
      <w:bookmarkStart w:id="15" w:name="_Toc430088676"/>
      <w:r>
        <w:rPr>
          <w:rFonts w:hint="eastAsia" w:ascii="仿宋" w:hAnsi="仿宋" w:eastAsia="仿宋" w:cs="仿宋"/>
          <w:color w:val="auto"/>
          <w:sz w:val="24"/>
          <w:szCs w:val="24"/>
          <w:highlight w:val="none"/>
        </w:rPr>
        <w:t>★整体系统采用B/S构架</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提供系统截图</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w:t>
      </w:r>
    </w:p>
    <w:p>
      <w:pPr>
        <w:pStyle w:val="163"/>
        <w:pageBreakBefore w:val="0"/>
        <w:numPr>
          <w:ilvl w:val="0"/>
          <w:numId w:val="6"/>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系统支持sql server/mysql/oracle/sqlite/mongodb</w:t>
      </w:r>
      <w:r>
        <w:rPr>
          <w:rFonts w:hint="eastAsia" w:ascii="仿宋" w:hAnsi="仿宋" w:eastAsia="仿宋" w:cs="仿宋"/>
          <w:color w:val="auto"/>
          <w:sz w:val="24"/>
          <w:szCs w:val="24"/>
          <w:highlight w:val="none"/>
          <w:lang w:val="en-US" w:eastAsia="zh-CN"/>
        </w:rPr>
        <w:t>/tidb</w:t>
      </w:r>
      <w:r>
        <w:rPr>
          <w:rFonts w:hint="eastAsia" w:ascii="仿宋" w:hAnsi="仿宋" w:eastAsia="仿宋" w:cs="仿宋"/>
          <w:color w:val="auto"/>
          <w:sz w:val="24"/>
          <w:szCs w:val="24"/>
          <w:highlight w:val="none"/>
        </w:rPr>
        <w:t>等多种主流数据库；</w:t>
      </w:r>
    </w:p>
    <w:p>
      <w:pPr>
        <w:pStyle w:val="163"/>
        <w:pageBreakBefore w:val="0"/>
        <w:numPr>
          <w:ilvl w:val="0"/>
          <w:numId w:val="6"/>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系统支持心电DICOM,心电图浏览和处理（显示格式、纸速、增益、滤波、测量等）</w:t>
      </w:r>
      <w:r>
        <w:rPr>
          <w:rFonts w:hint="eastAsia" w:ascii="仿宋" w:hAnsi="仿宋" w:eastAsia="仿宋" w:cs="仿宋"/>
          <w:color w:val="auto"/>
          <w:sz w:val="24"/>
          <w:szCs w:val="24"/>
          <w:highlight w:val="none"/>
          <w:lang w:eastAsia="zh-CN"/>
        </w:rPr>
        <w:t>；</w:t>
      </w:r>
    </w:p>
    <w:p>
      <w:pPr>
        <w:pStyle w:val="163"/>
        <w:pageBreakBefore w:val="0"/>
        <w:numPr>
          <w:ilvl w:val="0"/>
          <w:numId w:val="6"/>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具有医院管理、科室管理、医生管理、角色管理、权限管理、设备管理、模板管理等；</w:t>
      </w:r>
    </w:p>
    <w:p>
      <w:pPr>
        <w:pStyle w:val="163"/>
        <w:pageBreakBefore w:val="0"/>
        <w:numPr>
          <w:ilvl w:val="0"/>
          <w:numId w:val="6"/>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系统DICOM通讯支持SSL加密传输，支持客户端证书校验，保证通讯的安全可靠</w:t>
      </w:r>
      <w:r>
        <w:rPr>
          <w:rFonts w:hint="eastAsia" w:ascii="仿宋" w:hAnsi="仿宋" w:eastAsia="仿宋" w:cs="仿宋"/>
          <w:color w:val="auto"/>
          <w:sz w:val="24"/>
          <w:szCs w:val="24"/>
          <w:highlight w:val="none"/>
          <w:lang w:eastAsia="zh-CN"/>
        </w:rPr>
        <w:t>；</w:t>
      </w:r>
    </w:p>
    <w:p>
      <w:pPr>
        <w:pStyle w:val="163"/>
        <w:pageBreakBefore w:val="0"/>
        <w:numPr>
          <w:ilvl w:val="0"/>
          <w:numId w:val="6"/>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基于HTML5技术，支持Android、iOS等操作系统的全部移动端设备</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提供系统截图</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w:t>
      </w:r>
    </w:p>
    <w:p>
      <w:pPr>
        <w:pStyle w:val="163"/>
        <w:pageBreakBefore w:val="0"/>
        <w:numPr>
          <w:ilvl w:val="0"/>
          <w:numId w:val="6"/>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rPr>
        <w:t>▲</w:t>
      </w:r>
      <w:r>
        <w:rPr>
          <w:rFonts w:hint="eastAsia" w:ascii="仿宋" w:hAnsi="仿宋" w:eastAsia="仿宋" w:cs="仿宋"/>
          <w:color w:val="auto"/>
          <w:sz w:val="24"/>
          <w:szCs w:val="24"/>
          <w:highlight w:val="none"/>
        </w:rPr>
        <w:t>支持影像的有损/无损压缩模式切换，为患者节省宝贵的移动流量</w:t>
      </w:r>
      <w:r>
        <w:rPr>
          <w:rFonts w:hint="eastAsia" w:ascii="仿宋" w:hAnsi="仿宋" w:eastAsia="仿宋" w:cs="仿宋"/>
          <w:color w:val="auto"/>
          <w:sz w:val="24"/>
          <w:szCs w:val="24"/>
          <w:highlight w:val="none"/>
          <w:lang w:eastAsia="zh-CN"/>
        </w:rPr>
        <w:t>。</w:t>
      </w:r>
    </w:p>
    <w:p>
      <w:pPr>
        <w:pStyle w:val="5"/>
        <w:pageBreakBefore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PACS</w:t>
      </w:r>
      <w:r>
        <w:rPr>
          <w:rFonts w:hint="eastAsia" w:ascii="仿宋" w:hAnsi="仿宋" w:eastAsia="仿宋" w:cs="仿宋"/>
          <w:color w:val="auto"/>
          <w:sz w:val="24"/>
          <w:szCs w:val="24"/>
          <w:highlight w:val="none"/>
        </w:rPr>
        <w:t>存储服务系统</w:t>
      </w:r>
      <w:bookmarkEnd w:id="14"/>
      <w:bookmarkEnd w:id="15"/>
    </w:p>
    <w:p>
      <w:pPr>
        <w:pStyle w:val="163"/>
        <w:pageBreakBefore w:val="0"/>
        <w:numPr>
          <w:ilvl w:val="0"/>
          <w:numId w:val="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系统支持生命周期的多级存储模式，即保证存储的在线量，同时保证系统应用的性能</w:t>
      </w:r>
      <w:r>
        <w:rPr>
          <w:rFonts w:hint="eastAsia" w:ascii="仿宋" w:hAnsi="仿宋" w:eastAsia="仿宋" w:cs="仿宋"/>
          <w:color w:val="auto"/>
          <w:sz w:val="24"/>
          <w:szCs w:val="24"/>
          <w:highlight w:val="none"/>
          <w:lang w:eastAsia="zh-CN"/>
        </w:rPr>
        <w:t>；</w:t>
      </w:r>
    </w:p>
    <w:p>
      <w:pPr>
        <w:pStyle w:val="163"/>
        <w:pageBreakBefore w:val="0"/>
        <w:numPr>
          <w:ilvl w:val="0"/>
          <w:numId w:val="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rPr>
        <w:t>▲</w:t>
      </w:r>
      <w:r>
        <w:rPr>
          <w:rFonts w:hint="eastAsia" w:ascii="仿宋" w:hAnsi="仿宋" w:eastAsia="仿宋" w:cs="仿宋"/>
          <w:color w:val="auto"/>
          <w:sz w:val="24"/>
          <w:szCs w:val="24"/>
          <w:highlight w:val="none"/>
        </w:rPr>
        <w:t>支持多种存储架构和存储介质，包括DAS、NAS、SAN、CAS，支持光盘塔，磁带库等近线/离线存储设备，支持多重存储体系以及数据管理方式</w:t>
      </w:r>
      <w:r>
        <w:rPr>
          <w:rFonts w:hint="eastAsia" w:ascii="仿宋" w:hAnsi="仿宋" w:eastAsia="仿宋" w:cs="仿宋"/>
          <w:color w:val="auto"/>
          <w:sz w:val="24"/>
          <w:szCs w:val="24"/>
          <w:highlight w:val="none"/>
          <w:lang w:eastAsia="zh-CN"/>
        </w:rPr>
        <w:t>；</w:t>
      </w:r>
    </w:p>
    <w:p>
      <w:pPr>
        <w:pStyle w:val="163"/>
        <w:pageBreakBefore w:val="0"/>
        <w:numPr>
          <w:ilvl w:val="0"/>
          <w:numId w:val="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支持所有影像数据全部在线。</w:t>
      </w:r>
    </w:p>
    <w:p>
      <w:pPr>
        <w:pStyle w:val="163"/>
        <w:pageBreakBefore w:val="0"/>
        <w:numPr>
          <w:ilvl w:val="0"/>
          <w:numId w:val="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支持影像设备的在线动态添加和管理， 无需停止服务即可配置影像设备的DICOM参数。</w:t>
      </w:r>
    </w:p>
    <w:p>
      <w:pPr>
        <w:pStyle w:val="163"/>
        <w:pageBreakBefore w:val="0"/>
        <w:numPr>
          <w:ilvl w:val="0"/>
          <w:numId w:val="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自动将影像按照预定策略写入长期存储媒介。预定策略应该能够选择系统空闲时间进行操作。</w:t>
      </w:r>
    </w:p>
    <w:p>
      <w:pPr>
        <w:pStyle w:val="163"/>
        <w:pageBreakBefore w:val="0"/>
        <w:numPr>
          <w:ilvl w:val="0"/>
          <w:numId w:val="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rPr>
        <w:t>▲</w:t>
      </w:r>
      <w:r>
        <w:rPr>
          <w:rFonts w:hint="eastAsia" w:ascii="仿宋" w:hAnsi="仿宋" w:eastAsia="仿宋" w:cs="仿宋"/>
          <w:color w:val="auto"/>
          <w:sz w:val="24"/>
          <w:szCs w:val="24"/>
          <w:highlight w:val="none"/>
        </w:rPr>
        <w:t>支持数据库中影像数据和用户的在线动态添加和管理。支持影像有损压缩（LOSSY）和无损压缩（LOSSLESS）两种方式。</w:t>
      </w:r>
    </w:p>
    <w:p>
      <w:pPr>
        <w:pStyle w:val="163"/>
        <w:pageBreakBefore w:val="0"/>
        <w:numPr>
          <w:ilvl w:val="0"/>
          <w:numId w:val="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支持在线、近线及离线存储与管理，可设定存储管理策略，支持自动和手动方式管理。</w:t>
      </w:r>
    </w:p>
    <w:p>
      <w:pPr>
        <w:pStyle w:val="163"/>
        <w:pageBreakBefore w:val="0"/>
        <w:numPr>
          <w:ilvl w:val="0"/>
          <w:numId w:val="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存储在离线系统上的图像数据，在需要访问时，能够在1分钟之内恢复到在线存储系统。</w:t>
      </w:r>
    </w:p>
    <w:p>
      <w:pPr>
        <w:pStyle w:val="5"/>
        <w:pageBreakBefore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16" w:name="_Toc424908961"/>
      <w:bookmarkStart w:id="17" w:name="_Toc430088677"/>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PACS</w:t>
      </w:r>
      <w:r>
        <w:rPr>
          <w:rFonts w:hint="eastAsia" w:ascii="仿宋" w:hAnsi="仿宋" w:eastAsia="仿宋" w:cs="仿宋"/>
          <w:color w:val="auto"/>
          <w:sz w:val="24"/>
          <w:szCs w:val="24"/>
          <w:highlight w:val="none"/>
        </w:rPr>
        <w:t>系统集成</w:t>
      </w:r>
      <w:bookmarkEnd w:id="16"/>
      <w:bookmarkEnd w:id="17"/>
    </w:p>
    <w:p>
      <w:pPr>
        <w:pStyle w:val="102"/>
        <w:pageBreakBefore w:val="0"/>
        <w:numPr>
          <w:ilvl w:val="0"/>
          <w:numId w:val="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RIS系统可通过病人唯一标识来调用HIS检查申请数据信息；</w:t>
      </w:r>
    </w:p>
    <w:p>
      <w:pPr>
        <w:pStyle w:val="102"/>
        <w:pageBreakBefore w:val="0"/>
        <w:numPr>
          <w:ilvl w:val="0"/>
          <w:numId w:val="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通过接口实现HIS、EMR——RIS间的影像检查电子申请，实现无纸化流程；提供RIS在HIS、EMR中的嵌入模块。</w:t>
      </w:r>
    </w:p>
    <w:p>
      <w:pPr>
        <w:pStyle w:val="5"/>
        <w:pageBreakBefore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18" w:name="_Toc430088679"/>
      <w:bookmarkStart w:id="19" w:name="_Toc424908968"/>
      <w:r>
        <w:rPr>
          <w:rFonts w:hint="eastAsia" w:ascii="仿宋" w:hAnsi="仿宋" w:eastAsia="仿宋" w:cs="仿宋"/>
          <w:color w:val="auto"/>
          <w:sz w:val="24"/>
          <w:szCs w:val="24"/>
          <w:highlight w:val="none"/>
        </w:rPr>
        <w:t>4、PACS</w:t>
      </w:r>
      <w:r>
        <w:rPr>
          <w:rFonts w:hint="eastAsia" w:ascii="仿宋" w:hAnsi="仿宋" w:eastAsia="仿宋" w:cs="仿宋"/>
          <w:color w:val="auto"/>
          <w:sz w:val="24"/>
          <w:szCs w:val="24"/>
          <w:highlight w:val="none"/>
          <w:lang w:val="en-US" w:eastAsia="zh-CN"/>
        </w:rPr>
        <w:t>影像浏览</w:t>
      </w:r>
      <w:r>
        <w:rPr>
          <w:rFonts w:hint="eastAsia" w:ascii="仿宋" w:hAnsi="仿宋" w:eastAsia="仿宋" w:cs="仿宋"/>
          <w:color w:val="auto"/>
          <w:sz w:val="24"/>
          <w:szCs w:val="24"/>
          <w:highlight w:val="none"/>
        </w:rPr>
        <w:t>/RIS系统</w:t>
      </w:r>
      <w:bookmarkEnd w:id="18"/>
      <w:bookmarkEnd w:id="19"/>
    </w:p>
    <w:p>
      <w:pPr>
        <w:pStyle w:val="6"/>
        <w:pageBreakBefore w:val="0"/>
        <w:numPr>
          <w:ilvl w:val="3"/>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20" w:name="_Toc424908969"/>
      <w:r>
        <w:rPr>
          <w:rFonts w:hint="eastAsia" w:ascii="仿宋" w:hAnsi="仿宋" w:eastAsia="仿宋" w:cs="仿宋"/>
          <w:color w:val="auto"/>
          <w:sz w:val="24"/>
          <w:szCs w:val="24"/>
          <w:highlight w:val="none"/>
        </w:rPr>
        <w:t>4.1放射科室管理系统</w:t>
      </w:r>
      <w:bookmarkEnd w:id="20"/>
    </w:p>
    <w:p>
      <w:pPr>
        <w:pStyle w:val="163"/>
        <w:pageBreakBefore w:val="0"/>
        <w:numPr>
          <w:ilvl w:val="0"/>
          <w:numId w:val="9"/>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支持多级的用户权限管理；</w:t>
      </w:r>
    </w:p>
    <w:p>
      <w:pPr>
        <w:pStyle w:val="163"/>
        <w:pageBreakBefore w:val="0"/>
        <w:numPr>
          <w:ilvl w:val="0"/>
          <w:numId w:val="9"/>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基本统计（工作量统计）；</w:t>
      </w:r>
    </w:p>
    <w:p>
      <w:pPr>
        <w:pStyle w:val="163"/>
        <w:pageBreakBefore w:val="0"/>
        <w:numPr>
          <w:ilvl w:val="0"/>
          <w:numId w:val="9"/>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特殊疾病的统计和查询；</w:t>
      </w:r>
    </w:p>
    <w:p>
      <w:pPr>
        <w:pStyle w:val="163"/>
        <w:pageBreakBefore w:val="0"/>
        <w:numPr>
          <w:ilvl w:val="0"/>
          <w:numId w:val="9"/>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阳性率统计；</w:t>
      </w:r>
    </w:p>
    <w:p>
      <w:pPr>
        <w:pStyle w:val="163"/>
        <w:pageBreakBefore w:val="0"/>
        <w:numPr>
          <w:ilvl w:val="0"/>
          <w:numId w:val="9"/>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报告医生（一级）、审核医生（二级）工作量统计；</w:t>
      </w:r>
    </w:p>
    <w:p>
      <w:pPr>
        <w:pStyle w:val="163"/>
        <w:pageBreakBefore w:val="0"/>
        <w:numPr>
          <w:ilvl w:val="0"/>
          <w:numId w:val="9"/>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审核医生（二级）对报告医生（一级）修改率统计；</w:t>
      </w:r>
    </w:p>
    <w:p>
      <w:pPr>
        <w:pStyle w:val="163"/>
        <w:pageBreakBefore w:val="0"/>
        <w:numPr>
          <w:ilvl w:val="0"/>
          <w:numId w:val="9"/>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统计报表打印；</w:t>
      </w:r>
    </w:p>
    <w:p>
      <w:pPr>
        <w:pStyle w:val="163"/>
        <w:pageBreakBefore w:val="0"/>
        <w:numPr>
          <w:ilvl w:val="0"/>
          <w:numId w:val="9"/>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支持按部位分值预设；</w:t>
      </w:r>
    </w:p>
    <w:p>
      <w:pPr>
        <w:pStyle w:val="6"/>
        <w:pageBreakBefore w:val="0"/>
        <w:numPr>
          <w:ilvl w:val="3"/>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21" w:name="_Toc424908970"/>
      <w:r>
        <w:rPr>
          <w:rFonts w:hint="eastAsia" w:ascii="仿宋" w:hAnsi="仿宋" w:eastAsia="仿宋" w:cs="仿宋"/>
          <w:color w:val="auto"/>
          <w:sz w:val="24"/>
          <w:szCs w:val="24"/>
          <w:highlight w:val="none"/>
        </w:rPr>
        <w:t>4.2登记系统</w:t>
      </w:r>
      <w:bookmarkEnd w:id="21"/>
    </w:p>
    <w:p>
      <w:pPr>
        <w:pStyle w:val="163"/>
        <w:pageBreakBefore w:val="0"/>
        <w:numPr>
          <w:ilvl w:val="0"/>
          <w:numId w:val="10"/>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可以发起会诊。</w:t>
      </w:r>
    </w:p>
    <w:p>
      <w:pPr>
        <w:pStyle w:val="163"/>
        <w:pageBreakBefore w:val="0"/>
        <w:numPr>
          <w:ilvl w:val="0"/>
          <w:numId w:val="10"/>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可选择本地dicom图像上传。</w:t>
      </w:r>
    </w:p>
    <w:p>
      <w:pPr>
        <w:pStyle w:val="163"/>
        <w:pageBreakBefore w:val="0"/>
        <w:numPr>
          <w:ilvl w:val="0"/>
          <w:numId w:val="10"/>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患者信息与患者列表在同一界面，无语来回切换页面操作。</w:t>
      </w:r>
    </w:p>
    <w:p>
      <w:pPr>
        <w:pStyle w:val="163"/>
        <w:pageBreakBefore w:val="0"/>
        <w:numPr>
          <w:ilvl w:val="0"/>
          <w:numId w:val="10"/>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可实现必填项约束。</w:t>
      </w:r>
    </w:p>
    <w:p>
      <w:pPr>
        <w:pStyle w:val="163"/>
        <w:pageBreakBefore w:val="0"/>
        <w:numPr>
          <w:ilvl w:val="0"/>
          <w:numId w:val="10"/>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患者登记界面可打印报告，影像调阅，无需切换页面操作。</w:t>
      </w:r>
    </w:p>
    <w:p>
      <w:pPr>
        <w:pStyle w:val="163"/>
        <w:pageBreakBefore w:val="0"/>
        <w:numPr>
          <w:ilvl w:val="0"/>
          <w:numId w:val="10"/>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支持通过身份证读卡器录入患者基本信息。</w:t>
      </w:r>
    </w:p>
    <w:p>
      <w:pPr>
        <w:pStyle w:val="163"/>
        <w:pageBreakBefore w:val="0"/>
        <w:numPr>
          <w:ilvl w:val="0"/>
          <w:numId w:val="10"/>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支持磁卡、IC卡、条码输入、手工输入；</w:t>
      </w:r>
    </w:p>
    <w:p>
      <w:pPr>
        <w:pStyle w:val="163"/>
        <w:pageBreakBefore w:val="0"/>
        <w:numPr>
          <w:ilvl w:val="0"/>
          <w:numId w:val="10"/>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支持申请单拍摄、扫描功能；</w:t>
      </w:r>
    </w:p>
    <w:p>
      <w:pPr>
        <w:pStyle w:val="163"/>
        <w:pageBreakBefore w:val="0"/>
        <w:numPr>
          <w:ilvl w:val="0"/>
          <w:numId w:val="10"/>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支持同一患者多部位登记；</w:t>
      </w:r>
    </w:p>
    <w:p>
      <w:pPr>
        <w:pStyle w:val="6"/>
        <w:pageBreakBefore w:val="0"/>
        <w:numPr>
          <w:ilvl w:val="3"/>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22" w:name="_Toc424908971"/>
      <w:r>
        <w:rPr>
          <w:rFonts w:hint="eastAsia" w:ascii="仿宋" w:hAnsi="仿宋" w:eastAsia="仿宋" w:cs="仿宋"/>
          <w:color w:val="auto"/>
          <w:sz w:val="24"/>
          <w:szCs w:val="24"/>
          <w:highlight w:val="none"/>
        </w:rPr>
        <w:t>4.3</w:t>
      </w:r>
      <w:r>
        <w:rPr>
          <w:rFonts w:hint="eastAsia" w:ascii="仿宋" w:hAnsi="仿宋" w:eastAsia="仿宋" w:cs="仿宋"/>
          <w:color w:val="auto"/>
          <w:sz w:val="24"/>
          <w:szCs w:val="24"/>
          <w:highlight w:val="none"/>
          <w:lang w:val="en-US" w:eastAsia="zh-CN"/>
        </w:rPr>
        <w:t xml:space="preserve"> </w:t>
      </w:r>
      <w:bookmarkStart w:id="174" w:name="_GoBack"/>
      <w:bookmarkEnd w:id="174"/>
      <w:r>
        <w:rPr>
          <w:rFonts w:hint="eastAsia" w:ascii="仿宋" w:hAnsi="仿宋" w:eastAsia="仿宋" w:cs="仿宋"/>
          <w:color w:val="auto"/>
          <w:sz w:val="24"/>
          <w:szCs w:val="24"/>
          <w:highlight w:val="none"/>
        </w:rPr>
        <w:t>DICOM 及 Worklist服务</w:t>
      </w:r>
      <w:bookmarkEnd w:id="22"/>
    </w:p>
    <w:p>
      <w:pPr>
        <w:pStyle w:val="163"/>
        <w:pageBreakBefore w:val="0"/>
        <w:numPr>
          <w:ilvl w:val="0"/>
          <w:numId w:val="11"/>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支持与医院所有DICOM和非DICOM影像设备的连接，包括CT、MR、CR、DR、RF、DSA、PET、US、ES等；</w:t>
      </w:r>
    </w:p>
    <w:p>
      <w:pPr>
        <w:pStyle w:val="163"/>
        <w:pageBreakBefore w:val="0"/>
        <w:numPr>
          <w:ilvl w:val="0"/>
          <w:numId w:val="11"/>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支持的DICOM服务类包括:Storage SCU/SCP 、Query/Retrieve SCU/SCP、Modality Work list SCU/SCP 、Modality Performed Procedure Step Management SCU/SCP、Print SCU、ECHO SCU/SCP、Storage Commitment SCU/SCP、Verification SCU/SCP、Hanging Protocol等；</w:t>
      </w:r>
    </w:p>
    <w:p>
      <w:pPr>
        <w:pStyle w:val="163"/>
        <w:pageBreakBefore w:val="0"/>
        <w:numPr>
          <w:ilvl w:val="0"/>
          <w:numId w:val="11"/>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rPr>
        <w:t>▲</w:t>
      </w:r>
      <w:r>
        <w:rPr>
          <w:rFonts w:hint="eastAsia" w:ascii="仿宋" w:hAnsi="仿宋" w:eastAsia="仿宋" w:cs="仿宋"/>
          <w:color w:val="auto"/>
          <w:sz w:val="24"/>
          <w:szCs w:val="24"/>
          <w:highlight w:val="none"/>
        </w:rPr>
        <w:t>可直接接收所有符合DICOM3.0标准的影像数据图像导入；</w:t>
      </w:r>
    </w:p>
    <w:p>
      <w:pPr>
        <w:pStyle w:val="163"/>
        <w:pageBreakBefore w:val="0"/>
        <w:numPr>
          <w:ilvl w:val="0"/>
          <w:numId w:val="11"/>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光盘导入（将光盘内的DICOM图像或硬盘中其他图像导入到PACS系统中）；</w:t>
      </w:r>
    </w:p>
    <w:p>
      <w:pPr>
        <w:pStyle w:val="163"/>
        <w:pageBreakBefore w:val="0"/>
        <w:numPr>
          <w:ilvl w:val="0"/>
          <w:numId w:val="11"/>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提供DICOM Modality Worklist SCP工作清单列表功能；</w:t>
      </w:r>
    </w:p>
    <w:p>
      <w:pPr>
        <w:pStyle w:val="163"/>
        <w:pageBreakBefore w:val="0"/>
        <w:numPr>
          <w:ilvl w:val="0"/>
          <w:numId w:val="11"/>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rPr>
        <w:t>▲</w:t>
      </w:r>
      <w:r>
        <w:rPr>
          <w:rFonts w:hint="eastAsia" w:ascii="仿宋" w:hAnsi="仿宋" w:eastAsia="仿宋" w:cs="仿宋"/>
          <w:color w:val="auto"/>
          <w:sz w:val="24"/>
          <w:szCs w:val="24"/>
          <w:highlight w:val="none"/>
        </w:rPr>
        <w:t>支持Worklist 设备自动传递DICOM Worklist基本信息，实现英文影像主机系统病人姓名（拼音）的自动转换中文工作；</w:t>
      </w:r>
    </w:p>
    <w:p>
      <w:pPr>
        <w:pStyle w:val="6"/>
        <w:pageBreakBefore w:val="0"/>
        <w:numPr>
          <w:ilvl w:val="3"/>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23" w:name="_Toc424908972"/>
      <w:r>
        <w:rPr>
          <w:rFonts w:hint="eastAsia" w:ascii="仿宋" w:hAnsi="仿宋" w:eastAsia="仿宋" w:cs="仿宋"/>
          <w:color w:val="auto"/>
          <w:sz w:val="24"/>
          <w:szCs w:val="24"/>
          <w:highlight w:val="none"/>
        </w:rPr>
        <w:t>4.4技师检查系统</w:t>
      </w:r>
      <w:bookmarkEnd w:id="23"/>
    </w:p>
    <w:p>
      <w:pPr>
        <w:pStyle w:val="163"/>
        <w:pageBreakBefore w:val="0"/>
        <w:numPr>
          <w:ilvl w:val="0"/>
          <w:numId w:val="12"/>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在检查任务列表的基础上，</w:t>
      </w:r>
      <w:r>
        <w:rPr>
          <w:rFonts w:hint="eastAsia" w:ascii="仿宋" w:hAnsi="仿宋" w:eastAsia="仿宋" w:cs="仿宋"/>
          <w:color w:val="auto"/>
          <w:sz w:val="24"/>
          <w:szCs w:val="24"/>
          <w:highlight w:val="none"/>
          <w:lang w:val="en-US" w:eastAsia="zh-CN"/>
        </w:rPr>
        <w:t>支持</w:t>
      </w:r>
      <w:r>
        <w:rPr>
          <w:rFonts w:hint="eastAsia" w:ascii="仿宋" w:hAnsi="仿宋" w:eastAsia="仿宋" w:cs="仿宋"/>
          <w:color w:val="auto"/>
          <w:sz w:val="24"/>
          <w:szCs w:val="24"/>
          <w:highlight w:val="none"/>
        </w:rPr>
        <w:t>提供已检查确认。</w:t>
      </w:r>
    </w:p>
    <w:p>
      <w:pPr>
        <w:pStyle w:val="163"/>
        <w:pageBreakBefore w:val="0"/>
        <w:numPr>
          <w:ilvl w:val="0"/>
          <w:numId w:val="12"/>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信息确认功能：确认患者的基本信息的正确性。确认申请单的正确性。确认收费的正确性。</w:t>
      </w:r>
    </w:p>
    <w:p>
      <w:pPr>
        <w:pStyle w:val="163"/>
        <w:pageBreakBefore w:val="0"/>
        <w:numPr>
          <w:ilvl w:val="0"/>
          <w:numId w:val="12"/>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流程确认功能：患者到检确认，检查完毕确认。对于没有MPPS的软件和MPPS实施困难的软件，提供检查完毕确认的功能，以触发下一步流程。</w:t>
      </w:r>
    </w:p>
    <w:p>
      <w:pPr>
        <w:pStyle w:val="163"/>
        <w:pageBreakBefore w:val="0"/>
        <w:numPr>
          <w:ilvl w:val="0"/>
          <w:numId w:val="12"/>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异常流程处理：改变检查、取消检查的信息反馈。</w:t>
      </w:r>
    </w:p>
    <w:p>
      <w:pPr>
        <w:pStyle w:val="163"/>
        <w:pageBreakBefore w:val="0"/>
        <w:numPr>
          <w:ilvl w:val="0"/>
          <w:numId w:val="12"/>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具备自动叫号系统的控制功能，自动叫号系统能够同流程确认整合。</w:t>
      </w:r>
    </w:p>
    <w:p>
      <w:pPr>
        <w:pStyle w:val="163"/>
        <w:pageBreakBefore w:val="0"/>
        <w:numPr>
          <w:ilvl w:val="0"/>
          <w:numId w:val="12"/>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能够自动将已发送的图像与RIS信息进行关联。</w:t>
      </w:r>
    </w:p>
    <w:p>
      <w:pPr>
        <w:pStyle w:val="163"/>
        <w:pageBreakBefore w:val="0"/>
        <w:numPr>
          <w:ilvl w:val="0"/>
          <w:numId w:val="12"/>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允许未经检查登记的病人直接输入病人信息并生成诊断工作站所需的任务列表项目。</w:t>
      </w:r>
    </w:p>
    <w:p>
      <w:pPr>
        <w:pStyle w:val="163"/>
        <w:pageBreakBefore w:val="0"/>
        <w:numPr>
          <w:ilvl w:val="0"/>
          <w:numId w:val="12"/>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可以进行加拍、补拍和重拍操作。</w:t>
      </w:r>
    </w:p>
    <w:p>
      <w:pPr>
        <w:pStyle w:val="163"/>
        <w:pageBreakBefore w:val="0"/>
        <w:numPr>
          <w:ilvl w:val="0"/>
          <w:numId w:val="12"/>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可以对病人信息进行修改，可以对图像进行调整后归档。</w:t>
      </w:r>
    </w:p>
    <w:p>
      <w:pPr>
        <w:pStyle w:val="6"/>
        <w:pageBreakBefore w:val="0"/>
        <w:numPr>
          <w:ilvl w:val="3"/>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24" w:name="_Toc424908973"/>
      <w:r>
        <w:rPr>
          <w:rFonts w:hint="eastAsia" w:ascii="仿宋" w:hAnsi="仿宋" w:eastAsia="仿宋" w:cs="仿宋"/>
          <w:color w:val="auto"/>
          <w:sz w:val="24"/>
          <w:szCs w:val="24"/>
          <w:highlight w:val="none"/>
        </w:rPr>
        <w:t>4.5影像诊断系统</w:t>
      </w:r>
      <w:bookmarkEnd w:id="24"/>
    </w:p>
    <w:p>
      <w:pPr>
        <w:pStyle w:val="163"/>
        <w:pageBreakBefore w:val="0"/>
        <w:numPr>
          <w:ilvl w:val="0"/>
          <w:numId w:val="13"/>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b/>
          <w:bCs/>
          <w:color w:val="auto"/>
          <w:sz w:val="24"/>
          <w:szCs w:val="24"/>
          <w:highlight w:val="none"/>
        </w:rPr>
      </w:pPr>
      <w:bookmarkStart w:id="25" w:name="_Toc340929657"/>
      <w:bookmarkStart w:id="26" w:name="_Toc341110251"/>
      <w:r>
        <w:rPr>
          <w:rFonts w:hint="eastAsia" w:ascii="仿宋" w:hAnsi="仿宋" w:eastAsia="仿宋" w:cs="仿宋"/>
          <w:b/>
          <w:bCs/>
          <w:color w:val="auto"/>
          <w:sz w:val="24"/>
          <w:szCs w:val="24"/>
          <w:highlight w:val="none"/>
        </w:rPr>
        <w:t>图像调阅及显示</w:t>
      </w:r>
      <w:bookmarkEnd w:id="25"/>
      <w:bookmarkEnd w:id="26"/>
      <w:r>
        <w:rPr>
          <w:rFonts w:hint="eastAsia" w:ascii="仿宋" w:hAnsi="仿宋" w:eastAsia="仿宋" w:cs="仿宋"/>
          <w:b/>
          <w:bCs/>
          <w:color w:val="auto"/>
          <w:sz w:val="24"/>
          <w:szCs w:val="24"/>
          <w:highlight w:val="none"/>
        </w:rPr>
        <w:t>：</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配有</w:t>
      </w:r>
      <w:r>
        <w:rPr>
          <w:rFonts w:hint="eastAsia" w:ascii="仿宋" w:hAnsi="仿宋" w:eastAsia="仿宋" w:cs="仿宋"/>
          <w:color w:val="auto"/>
          <w:sz w:val="24"/>
          <w:szCs w:val="24"/>
          <w:highlight w:val="none"/>
        </w:rPr>
        <w:t>图像联动3D定位功能；</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显示布局：系统支持按检查类型相关的显示设置自动安排显示布局，支持按用户可选择和可定义的显示设置调整显示布局；</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可同屏显示一个病人的多次检查的图像；</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同时调阅一个患者或多个患者不同诊断序列、不同体位、不同时期、不同成像设备的影像进行对比显示和诊断；</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恢复原始图像功能；</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rPr>
        <w:t>▲</w:t>
      </w:r>
      <w:r>
        <w:rPr>
          <w:rFonts w:hint="eastAsia" w:ascii="仿宋" w:hAnsi="仿宋" w:eastAsia="仿宋" w:cs="仿宋"/>
          <w:color w:val="auto"/>
          <w:sz w:val="24"/>
          <w:szCs w:val="24"/>
          <w:highlight w:val="none"/>
        </w:rPr>
        <w:t>MR和CT图像定位线显示、导航；</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图像多定位线显示；</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同一窗口内多序列图像多定位线交叉引用；</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多序列图像在同一窗口内显示；</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同一窗口内同一检查的多序列图像同步滚动对比；</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同一窗口内不同检查的多序列图像同步滚动对比；</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同一窗口内不同病人多序列图像同步滚动对比；</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鼠标滚动显示图像；</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影像动态播放显示；</w:t>
      </w:r>
    </w:p>
    <w:p>
      <w:pPr>
        <w:pStyle w:val="163"/>
        <w:pageBreakBefore w:val="0"/>
        <w:numPr>
          <w:ilvl w:val="0"/>
          <w:numId w:val="14"/>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单帧调节影像播放速度，支持播放过程中动态调整；</w:t>
      </w:r>
    </w:p>
    <w:p>
      <w:pPr>
        <w:pStyle w:val="163"/>
        <w:pageBreakBefore w:val="0"/>
        <w:numPr>
          <w:ilvl w:val="0"/>
          <w:numId w:val="13"/>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b/>
          <w:bCs/>
          <w:color w:val="auto"/>
          <w:sz w:val="24"/>
          <w:szCs w:val="24"/>
          <w:highlight w:val="none"/>
        </w:rPr>
      </w:pPr>
      <w:bookmarkStart w:id="27" w:name="_Toc341110252"/>
      <w:bookmarkStart w:id="28" w:name="_Toc340929658"/>
      <w:r>
        <w:rPr>
          <w:rFonts w:hint="eastAsia" w:ascii="仿宋" w:hAnsi="仿宋" w:eastAsia="仿宋" w:cs="仿宋"/>
          <w:b/>
          <w:bCs/>
          <w:color w:val="auto"/>
          <w:sz w:val="24"/>
          <w:szCs w:val="24"/>
          <w:highlight w:val="none"/>
        </w:rPr>
        <w:t>二维图像处理</w:t>
      </w:r>
      <w:bookmarkEnd w:id="27"/>
      <w:bookmarkEnd w:id="28"/>
      <w:r>
        <w:rPr>
          <w:rFonts w:hint="eastAsia" w:ascii="仿宋" w:hAnsi="仿宋" w:eastAsia="仿宋" w:cs="仿宋"/>
          <w:b/>
          <w:bCs/>
          <w:color w:val="auto"/>
          <w:sz w:val="24"/>
          <w:szCs w:val="24"/>
          <w:highlight w:val="none"/>
        </w:rPr>
        <w:t>：</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支持旋转翻转：平面旋转、水平翻转、垂直翻转;图像漫游; 黑白反转（负片）; 伪彩; 放大镜； </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支持任意角度旋转；</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支持序列播放功能，回放速度可用鼠标滚轮进行动态调节</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支持多段曲线调窗，支持Gamma调窗；</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支持图像无级缩放；</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图像移动漫游；</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窗宽、窗位调节；预设窗宽/窗位；显示双窗宽/窗位；</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测量、标记；距离测量；角度测量；椭圆测量；任意形状面积测量；</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文字注释、图形、箭头标注，可手画线；</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长度、面积计算显示；</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ROI平均密度值测量：圆形、矩形、任意形状；</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心胸比测量；</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支持TrueSize显示可以输入显示器尺寸(英寸)或DPI;如'13.3in'或'166dpi'</w:t>
      </w:r>
      <w:r>
        <w:rPr>
          <w:rFonts w:hint="eastAsia" w:ascii="仿宋" w:hAnsi="仿宋" w:eastAsia="仿宋" w:cs="仿宋"/>
          <w:color w:val="auto"/>
          <w:sz w:val="24"/>
          <w:szCs w:val="24"/>
          <w:highlight w:val="none"/>
          <w:lang w:eastAsia="zh-CN"/>
        </w:rPr>
        <w:t>；</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支持窗口中拖动鼠标删除测量元素</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提供系统截图</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w:t>
      </w:r>
    </w:p>
    <w:p>
      <w:pPr>
        <w:pStyle w:val="163"/>
        <w:pageBreakBefore w:val="0"/>
        <w:numPr>
          <w:ilvl w:val="0"/>
          <w:numId w:val="15"/>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ROI自动窗宽窗位调节，自动显示其最优化的窗宽窗位</w:t>
      </w:r>
      <w:r>
        <w:rPr>
          <w:rFonts w:hint="eastAsia" w:ascii="仿宋" w:hAnsi="仿宋" w:eastAsia="仿宋" w:cs="仿宋"/>
          <w:b/>
          <w:bCs/>
          <w:color w:val="auto"/>
          <w:sz w:val="24"/>
          <w:szCs w:val="24"/>
          <w:highlight w:val="none"/>
        </w:rPr>
        <w:t>（提供系统截图）</w:t>
      </w:r>
      <w:r>
        <w:rPr>
          <w:rFonts w:hint="eastAsia" w:ascii="仿宋" w:hAnsi="仿宋" w:eastAsia="仿宋" w:cs="仿宋"/>
          <w:color w:val="auto"/>
          <w:sz w:val="24"/>
          <w:szCs w:val="24"/>
          <w:highlight w:val="none"/>
          <w:lang w:eastAsia="zh-CN"/>
        </w:rPr>
        <w:t>；</w:t>
      </w:r>
    </w:p>
    <w:p>
      <w:pPr>
        <w:pStyle w:val="163"/>
        <w:pageBreakBefore w:val="0"/>
        <w:numPr>
          <w:ilvl w:val="0"/>
          <w:numId w:val="13"/>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b/>
          <w:bCs/>
          <w:color w:val="auto"/>
          <w:sz w:val="24"/>
          <w:szCs w:val="24"/>
          <w:highlight w:val="none"/>
        </w:rPr>
      </w:pPr>
      <w:bookmarkStart w:id="29" w:name="_Toc340929659"/>
      <w:bookmarkStart w:id="30" w:name="_Toc341110253"/>
      <w:r>
        <w:rPr>
          <w:rFonts w:hint="eastAsia" w:ascii="仿宋" w:hAnsi="仿宋" w:eastAsia="仿宋" w:cs="仿宋"/>
          <w:b/>
          <w:bCs/>
          <w:color w:val="auto"/>
          <w:sz w:val="24"/>
          <w:szCs w:val="24"/>
          <w:highlight w:val="none"/>
        </w:rPr>
        <w:t>报告书写</w:t>
      </w:r>
      <w:bookmarkEnd w:id="29"/>
      <w:bookmarkEnd w:id="30"/>
      <w:r>
        <w:rPr>
          <w:rFonts w:hint="eastAsia" w:ascii="仿宋" w:hAnsi="仿宋" w:eastAsia="仿宋" w:cs="仿宋"/>
          <w:b/>
          <w:bCs/>
          <w:color w:val="auto"/>
          <w:sz w:val="24"/>
          <w:szCs w:val="24"/>
          <w:highlight w:val="none"/>
        </w:rPr>
        <w:t>：</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可以浏览申请单；</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具有DR/CT/MR完整的专家知识库，能够与部位自动关联匹配。</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具有三级审核管理流程。</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可以驳回报告。</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报告界面可以直观显示简要病史、临床诊断、检查目的、以往检查等信息，无需切换其他界面。</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可以自定义调整报告显示字体大小、打印字体大小，进行分开独立设置。</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支持维护结构化报告。</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报告单预览功能（在书写、审核、打印时都可随时预览报告）；</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历史诊断报告列表功能，审核医生可查看当前病人同模态的历史诊断报告；</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常用词汇管理，支持报告模板管理；</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报告模版：有常见疾病的模版，模版分为公有模版和私有模版，并可以互相转换；</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报告书写和审核权限分为三级：报告、审核、审核后修改权限。报告打印或审核后，可以修改并留痕迹；</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支持将典型报告内容收藏为教学用报告的功能；</w:t>
      </w:r>
    </w:p>
    <w:p>
      <w:pPr>
        <w:pStyle w:val="163"/>
        <w:pageBreakBefore w:val="0"/>
        <w:numPr>
          <w:ilvl w:val="0"/>
          <w:numId w:val="16"/>
        </w:numPr>
        <w:kinsoku/>
        <w:wordWrap/>
        <w:overflowPunct/>
        <w:topLinePunct w:val="0"/>
        <w:autoSpaceDE/>
        <w:autoSpaceDN/>
        <w:bidi w:val="0"/>
        <w:adjustRightInd/>
        <w:snapToGrid/>
        <w:spacing w:line="440" w:lineRule="exact"/>
        <w:ind w:left="426"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支持阳性记录、阳性率统计；</w:t>
      </w:r>
    </w:p>
    <w:p>
      <w:pPr>
        <w:pStyle w:val="6"/>
        <w:pageBreakBefore w:val="0"/>
        <w:numPr>
          <w:ilvl w:val="3"/>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31" w:name="_Toc424908974"/>
      <w:r>
        <w:rPr>
          <w:rFonts w:hint="eastAsia" w:ascii="仿宋" w:hAnsi="仿宋" w:eastAsia="仿宋" w:cs="仿宋"/>
          <w:color w:val="auto"/>
          <w:sz w:val="24"/>
          <w:szCs w:val="24"/>
          <w:highlight w:val="none"/>
        </w:rPr>
        <w:t>4.6三维后处理系统</w:t>
      </w:r>
      <w:bookmarkEnd w:id="31"/>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支持MPR多平面重建 </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支持CPR曲面重建</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支持OPR斜切面重建</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支持MIP最大密度投影</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支持VR体积重建</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支持虚拟手术刀</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w:t>
      </w:r>
      <w:r>
        <w:rPr>
          <w:rFonts w:hint="eastAsia" w:ascii="仿宋" w:hAnsi="仿宋" w:eastAsia="仿宋" w:cs="仿宋"/>
          <w:color w:val="auto"/>
          <w:sz w:val="24"/>
          <w:szCs w:val="24"/>
          <w:highlight w:val="none"/>
          <w:lang w:val="en-US" w:eastAsia="zh-CN"/>
        </w:rPr>
        <w:t>VR</w:t>
      </w:r>
      <w:r>
        <w:rPr>
          <w:rFonts w:hint="eastAsia" w:ascii="仿宋" w:hAnsi="仿宋" w:eastAsia="仿宋" w:cs="仿宋"/>
          <w:color w:val="auto"/>
          <w:sz w:val="24"/>
          <w:szCs w:val="24"/>
          <w:highlight w:val="none"/>
        </w:rPr>
        <w:t>一键去床功能</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w:t>
      </w:r>
      <w:r>
        <w:rPr>
          <w:rFonts w:hint="eastAsia" w:ascii="仿宋" w:hAnsi="仿宋" w:eastAsia="仿宋" w:cs="仿宋"/>
          <w:color w:val="auto"/>
          <w:sz w:val="24"/>
          <w:szCs w:val="24"/>
          <w:highlight w:val="none"/>
          <w:lang w:val="en-US" w:eastAsia="zh-CN"/>
        </w:rPr>
        <w:t>VR一键去骨功能</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rPr>
        <w:t>▲</w:t>
      </w:r>
      <w:r>
        <w:rPr>
          <w:rFonts w:hint="eastAsia" w:ascii="仿宋" w:hAnsi="仿宋" w:eastAsia="仿宋" w:cs="仿宋"/>
          <w:color w:val="auto"/>
          <w:sz w:val="24"/>
          <w:szCs w:val="24"/>
          <w:highlight w:val="none"/>
        </w:rPr>
        <w:t>三维后处理</w:t>
      </w:r>
      <w:r>
        <w:rPr>
          <w:rFonts w:hint="eastAsia" w:ascii="仿宋" w:hAnsi="仿宋" w:eastAsia="仿宋" w:cs="仿宋"/>
          <w:color w:val="auto"/>
          <w:sz w:val="24"/>
          <w:szCs w:val="24"/>
          <w:highlight w:val="none"/>
          <w:lang w:val="en-US" w:eastAsia="zh-CN"/>
        </w:rPr>
        <w:t>能</w:t>
      </w:r>
      <w:r>
        <w:rPr>
          <w:rFonts w:hint="default" w:ascii="仿宋" w:hAnsi="仿宋" w:eastAsia="仿宋" w:cs="仿宋"/>
          <w:color w:val="auto"/>
          <w:sz w:val="24"/>
          <w:szCs w:val="24"/>
          <w:highlight w:val="none"/>
          <w:lang w:val="en-US"/>
        </w:rPr>
        <w:t>同时</w:t>
      </w:r>
      <w:r>
        <w:rPr>
          <w:rFonts w:hint="eastAsia" w:ascii="仿宋" w:hAnsi="仿宋" w:eastAsia="仿宋" w:cs="仿宋"/>
          <w:color w:val="auto"/>
          <w:sz w:val="24"/>
          <w:szCs w:val="24"/>
          <w:highlight w:val="none"/>
        </w:rPr>
        <w:t>满足基于服务器端处理和web前端处理，并且同时满足基于CPU</w:t>
      </w:r>
      <w:r>
        <w:rPr>
          <w:rFonts w:hint="eastAsia" w:ascii="仿宋" w:hAnsi="仿宋" w:eastAsia="仿宋" w:cs="仿宋"/>
          <w:color w:val="auto"/>
          <w:sz w:val="24"/>
          <w:szCs w:val="24"/>
          <w:highlight w:val="none"/>
          <w:lang w:val="en-US" w:eastAsia="zh-CN"/>
        </w:rPr>
        <w:t>运</w:t>
      </w:r>
      <w:r>
        <w:rPr>
          <w:rFonts w:hint="eastAsia" w:ascii="仿宋" w:hAnsi="仿宋" w:eastAsia="仿宋" w:cs="仿宋"/>
          <w:color w:val="auto"/>
          <w:sz w:val="24"/>
          <w:szCs w:val="24"/>
          <w:highlight w:val="none"/>
        </w:rPr>
        <w:t>算和GPU</w:t>
      </w:r>
      <w:r>
        <w:rPr>
          <w:rFonts w:hint="eastAsia" w:ascii="仿宋" w:hAnsi="仿宋" w:eastAsia="仿宋" w:cs="仿宋"/>
          <w:color w:val="auto"/>
          <w:sz w:val="24"/>
          <w:szCs w:val="24"/>
          <w:highlight w:val="none"/>
          <w:lang w:val="en-US" w:eastAsia="zh-CN"/>
        </w:rPr>
        <w:t>运</w:t>
      </w:r>
      <w:r>
        <w:rPr>
          <w:rFonts w:hint="eastAsia" w:ascii="仿宋" w:hAnsi="仿宋" w:eastAsia="仿宋" w:cs="仿宋"/>
          <w:color w:val="auto"/>
          <w:sz w:val="24"/>
          <w:szCs w:val="24"/>
          <w:highlight w:val="none"/>
        </w:rPr>
        <w:t>算，无需安装插件</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提供软件系统截图</w:t>
      </w:r>
      <w:r>
        <w:rPr>
          <w:rFonts w:hint="eastAsia" w:ascii="仿宋" w:hAnsi="仿宋" w:eastAsia="仿宋" w:cs="仿宋"/>
          <w:b/>
          <w:bCs/>
          <w:color w:val="auto"/>
          <w:sz w:val="24"/>
          <w:szCs w:val="24"/>
          <w:highlight w:val="none"/>
          <w:lang w:eastAsia="zh-CN"/>
        </w:rPr>
        <w:t>）</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支持MPR中切换主视图功能，并且可以在矢状位、冠状位、横断位窗口拖动滚动条快速浏览当前视图</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支持MPR中选择任意层厚，并且可以在矢状位、冠状位、横断位窗口拖动鼠标任意修改层厚</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提供系统截图</w:t>
      </w:r>
      <w:r>
        <w:rPr>
          <w:rFonts w:hint="eastAsia" w:ascii="仿宋" w:hAnsi="仿宋" w:eastAsia="仿宋" w:cs="仿宋"/>
          <w:b/>
          <w:bCs/>
          <w:color w:val="auto"/>
          <w:sz w:val="24"/>
          <w:szCs w:val="24"/>
          <w:highlight w:val="none"/>
          <w:lang w:eastAsia="zh-CN"/>
        </w:rPr>
        <w:t>）</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支持MPR中可以在矢状位、冠状位、横断位窗口任意切换MIP、VR。</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支持鼠标MPR三维旋转</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支持MPR中牙齿分割功能可以选择手动勾画或者磁力铅笔，并且支持三维渲染</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支持MPR中神经管标注，并且在VR中同步显示。</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支持CPR中可以在矢状位、冠状位、横断位窗口任意切换MIP、VR</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支持MPR中同时查看矢状位、冠状位、横断位空间位置</w:t>
      </w:r>
    </w:p>
    <w:p>
      <w:pPr>
        <w:pStyle w:val="163"/>
        <w:pageBreakBefore w:val="0"/>
        <w:numPr>
          <w:ilvl w:val="0"/>
          <w:numId w:val="17"/>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支持MPR中矢状位、冠状位、横断位可以使用测量直线、面积等等工具</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提供系统截图</w:t>
      </w:r>
      <w:r>
        <w:rPr>
          <w:rFonts w:hint="eastAsia" w:ascii="仿宋" w:hAnsi="仿宋" w:eastAsia="仿宋" w:cs="仿宋"/>
          <w:b/>
          <w:bCs/>
          <w:color w:val="auto"/>
          <w:sz w:val="24"/>
          <w:szCs w:val="24"/>
          <w:highlight w:val="none"/>
          <w:lang w:eastAsia="zh-CN"/>
        </w:rPr>
        <w:t>）</w:t>
      </w:r>
    </w:p>
    <w:p>
      <w:pPr>
        <w:pStyle w:val="5"/>
        <w:pageBreakBefore w:val="0"/>
        <w:numPr>
          <w:ilvl w:val="0"/>
          <w:numId w:val="0"/>
        </w:numP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bookmarkStart w:id="32" w:name="_Toc416770697"/>
      <w:bookmarkStart w:id="33" w:name="_Toc430088684"/>
      <w:bookmarkStart w:id="34" w:name="_Toc424908999"/>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数字化种植</w:t>
      </w:r>
      <w:r>
        <w:rPr>
          <w:rFonts w:hint="eastAsia" w:ascii="仿宋" w:hAnsi="仿宋" w:eastAsia="仿宋" w:cs="仿宋"/>
          <w:color w:val="auto"/>
          <w:sz w:val="24"/>
          <w:szCs w:val="24"/>
          <w:highlight w:val="none"/>
        </w:rPr>
        <w:t>系统</w:t>
      </w:r>
      <w:bookmarkEnd w:id="32"/>
      <w:bookmarkEnd w:id="33"/>
      <w:bookmarkEnd w:id="34"/>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整体系统采用B/S架构</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提供系统截图</w:t>
      </w:r>
      <w:r>
        <w:rPr>
          <w:rFonts w:hint="eastAsia" w:ascii="仿宋" w:hAnsi="仿宋" w:eastAsia="仿宋" w:cs="仿宋"/>
          <w:b/>
          <w:bCs/>
          <w:color w:val="auto"/>
          <w:sz w:val="24"/>
          <w:szCs w:val="24"/>
          <w:highlight w:val="none"/>
          <w:lang w:eastAsia="zh-CN"/>
        </w:rPr>
        <w:t>）</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基于HTML5技术，支持Android、iOS等操作系统的全部移动端设备</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提供系统截图</w:t>
      </w:r>
      <w:r>
        <w:rPr>
          <w:rFonts w:hint="eastAsia" w:ascii="仿宋" w:hAnsi="仿宋" w:eastAsia="仿宋" w:cs="仿宋"/>
          <w:b/>
          <w:bCs/>
          <w:color w:val="auto"/>
          <w:sz w:val="24"/>
          <w:szCs w:val="24"/>
          <w:highlight w:val="none"/>
          <w:lang w:eastAsia="zh-CN"/>
        </w:rPr>
        <w:t>）</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支持MPR，可在颊舌、咬合和近远中三个二维视图中进行CT数据的查看和测量。</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支持MPR，可进行CT三维视图中的3D颌骨建模进行X、Y、Z方向的数据隐藏查看，便于使用者对CT数据进行切片查看。</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支持基于AI的牙弓曲线绘制</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strike w:val="0"/>
          <w:dstrike w:val="0"/>
          <w:color w:val="auto"/>
          <w:sz w:val="24"/>
          <w:szCs w:val="24"/>
          <w:highlight w:val="none"/>
        </w:rPr>
        <w:t>▲</w:t>
      </w:r>
      <w:r>
        <w:rPr>
          <w:rFonts w:hint="eastAsia" w:ascii="仿宋" w:hAnsi="仿宋" w:eastAsia="仿宋" w:cs="仿宋"/>
          <w:color w:val="auto"/>
          <w:sz w:val="24"/>
          <w:szCs w:val="24"/>
          <w:highlight w:val="none"/>
          <w:lang w:val="en-US" w:eastAsia="zh-CN"/>
        </w:rPr>
        <w:t>支持利用大数据AI技术自动检查和绘制下颌神经导管</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支持利用大数据AI技术将CBCT数据和口内模型数据的STL格式文件进行融合。可实现智能化的拟合效果</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支持可以嵌入国内外主要品牌植体数据库，配在相应的植体品牌下设置主要型号的产品</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支持在缺失牙位的空间上进行虚拟排牙，模拟种植修复后的效果和咬颌关系。</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支持在3D视窗中，牙冠进入编辑模式，可通过轨迹球对牙冠可对虚拟排牙的每个牙位进行单独的牙体位置移动、旋转、缩放、颊舌向和近远中向的调整。</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支持对种植位点设计完成后，需将设计完的方案进行保存，并生成种植方案报告，便于主治医生进行方案确认和病例留档</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支持对于完成的种植方案软件可生成3D版本的方案报告，供使用者更为直观生动立体的查看种植方案和位点位置</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支持当种植方案的设计结果被确定后，软件可依据当前确认完的方案设计结果生成数字化种植导板的设计。</w:t>
      </w:r>
    </w:p>
    <w:p>
      <w:pPr>
        <w:pStyle w:val="163"/>
        <w:pageBreakBefore w:val="0"/>
        <w:numPr>
          <w:ilvl w:val="0"/>
          <w:numId w:val="18"/>
        </w:numPr>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支持在种植方案确认后，依据配合不同的种植手术导板工具盒的种类，设计引导环的形态外观及参数设定。</w:t>
      </w:r>
    </w:p>
    <w:p>
      <w:pPr>
        <w:keepNext w:val="0"/>
        <w:keepLines w:val="0"/>
        <w:pageBreakBefore w:val="0"/>
        <w:widowControl w:val="0"/>
        <w:numPr>
          <w:ilvl w:val="0"/>
          <w:numId w:val="19"/>
        </w:numPr>
        <w:kinsoku/>
        <w:wordWrap/>
        <w:overflowPunct/>
        <w:topLinePunct w:val="0"/>
        <w:autoSpaceDE/>
        <w:autoSpaceDN/>
        <w:bidi w:val="0"/>
        <w:adjustRightInd/>
        <w:snapToGrid/>
        <w:spacing w:before="156" w:beforeLines="50" w:after="156" w:afterLines="50"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检查预约</w:t>
      </w:r>
    </w:p>
    <w:p>
      <w:pPr>
        <w:pStyle w:val="163"/>
        <w:numPr>
          <w:ilvl w:val="0"/>
          <w:numId w:val="20"/>
        </w:numPr>
        <w:spacing w:line="440" w:lineRule="exact"/>
        <w:ind w:firstLineChars="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患者缴费后平台根据配置的规则进行自动预约；</w:t>
      </w:r>
    </w:p>
    <w:p>
      <w:pPr>
        <w:pStyle w:val="163"/>
        <w:numPr>
          <w:ilvl w:val="0"/>
          <w:numId w:val="20"/>
        </w:numPr>
        <w:spacing w:line="440" w:lineRule="exact"/>
        <w:ind w:firstLineChars="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医生开单后直接完成预约，患者没在规则时间内支付会自动释放；</w:t>
      </w:r>
    </w:p>
    <w:p>
      <w:pPr>
        <w:pStyle w:val="163"/>
        <w:numPr>
          <w:ilvl w:val="0"/>
          <w:numId w:val="20"/>
        </w:numPr>
        <w:spacing w:line="440" w:lineRule="exact"/>
        <w:ind w:firstLineChars="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各医技科室人员再分诊台为患者完全预约，支持打印凭条；</w:t>
      </w:r>
    </w:p>
    <w:p>
      <w:pPr>
        <w:pStyle w:val="163"/>
        <w:numPr>
          <w:ilvl w:val="0"/>
          <w:numId w:val="20"/>
        </w:numPr>
        <w:spacing w:line="440" w:lineRule="exact"/>
        <w:ind w:firstLineChars="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支持患者持号票或者整体预约条码，按约进行检查，到医技科室进行到达报到确认</w:t>
      </w:r>
    </w:p>
    <w:p>
      <w:pPr>
        <w:pStyle w:val="163"/>
        <w:numPr>
          <w:ilvl w:val="0"/>
          <w:numId w:val="20"/>
        </w:numPr>
        <w:spacing w:line="440" w:lineRule="exact"/>
        <w:ind w:firstLineChars="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预约池，医技预约的数据池。支持筛选查询、新建、修改、取消预约、挂起、打印凭条等操作；</w:t>
      </w:r>
    </w:p>
    <w:p>
      <w:pPr>
        <w:pStyle w:val="163"/>
        <w:numPr>
          <w:ilvl w:val="0"/>
          <w:numId w:val="20"/>
        </w:numPr>
        <w:spacing w:line="440" w:lineRule="exact"/>
        <w:ind w:firstLineChars="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按申请单查询患者预约信息，支持立即预约、改约保存、取消预约、签到、挂起、打印等操作；</w:t>
      </w:r>
    </w:p>
    <w:p>
      <w:pPr>
        <w:pStyle w:val="163"/>
        <w:numPr>
          <w:ilvl w:val="0"/>
          <w:numId w:val="20"/>
        </w:numPr>
        <w:spacing w:line="440" w:lineRule="exact"/>
        <w:ind w:firstLineChars="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支持以科室分类来进行设备排班，支持批量删除、单项删除、编辑、添加等操作</w:t>
      </w:r>
      <w:r>
        <w:rPr>
          <w:rFonts w:hint="eastAsia" w:ascii="仿宋" w:hAnsi="仿宋" w:eastAsia="仿宋" w:cs="仿宋"/>
          <w:bCs w:val="0"/>
          <w:color w:val="auto"/>
          <w:sz w:val="24"/>
          <w:szCs w:val="24"/>
          <w:highlight w:val="none"/>
          <w:lang w:eastAsia="zh-CN"/>
        </w:rPr>
        <w:t>；</w:t>
      </w:r>
    </w:p>
    <w:p>
      <w:pPr>
        <w:pStyle w:val="163"/>
        <w:numPr>
          <w:ilvl w:val="0"/>
          <w:numId w:val="20"/>
        </w:numPr>
        <w:spacing w:line="440" w:lineRule="exact"/>
        <w:ind w:firstLineChars="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排班发布后正式生效，已调整未发布的支持撤销</w:t>
      </w:r>
      <w:r>
        <w:rPr>
          <w:rFonts w:hint="eastAsia" w:ascii="仿宋" w:hAnsi="仿宋" w:eastAsia="仿宋" w:cs="仿宋"/>
          <w:bCs w:val="0"/>
          <w:color w:val="auto"/>
          <w:sz w:val="24"/>
          <w:szCs w:val="24"/>
          <w:highlight w:val="none"/>
          <w:lang w:eastAsia="zh-CN"/>
        </w:rPr>
        <w:t>；</w:t>
      </w:r>
    </w:p>
    <w:p>
      <w:pPr>
        <w:pStyle w:val="163"/>
        <w:numPr>
          <w:ilvl w:val="0"/>
          <w:numId w:val="20"/>
        </w:numPr>
        <w:spacing w:line="440" w:lineRule="exact"/>
        <w:ind w:firstLineChars="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按科室显示对应的检查诊室、检查设备，支持对诊室及设备的基础数据做新建，修改，删除等操作</w:t>
      </w:r>
      <w:r>
        <w:rPr>
          <w:rFonts w:hint="eastAsia" w:ascii="仿宋" w:hAnsi="仿宋" w:eastAsia="仿宋" w:cs="仿宋"/>
          <w:bCs w:val="0"/>
          <w:color w:val="auto"/>
          <w:sz w:val="24"/>
          <w:szCs w:val="24"/>
          <w:highlight w:val="none"/>
          <w:lang w:eastAsia="zh-CN"/>
        </w:rPr>
        <w:t>。</w:t>
      </w:r>
    </w:p>
    <w:p>
      <w:pPr>
        <w:rPr>
          <w:color w:val="auto"/>
          <w:highlight w:val="none"/>
        </w:rPr>
      </w:pPr>
    </w:p>
    <w:p>
      <w:pPr>
        <w:spacing w:line="360" w:lineRule="auto"/>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lang w:val="en-US" w:eastAsia="zh-CN"/>
        </w:rPr>
        <w:t>7</w:t>
      </w:r>
      <w:r>
        <w:rPr>
          <w:rFonts w:hint="eastAsia" w:ascii="仿宋_GB2312" w:hAnsi="宋体" w:eastAsia="仿宋_GB2312"/>
          <w:b/>
          <w:bCs/>
          <w:iCs/>
          <w:color w:val="auto"/>
          <w:sz w:val="24"/>
          <w:highlight w:val="none"/>
        </w:rPr>
        <w:t>、付款方式</w:t>
      </w:r>
    </w:p>
    <w:p>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bookmarkEnd w:id="7"/>
    <w:p>
      <w:pPr>
        <w:pStyle w:val="24"/>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_GB2312"/>
          <w:b/>
          <w:color w:val="auto"/>
          <w:sz w:val="36"/>
          <w:szCs w:val="36"/>
          <w:highlight w:val="none"/>
        </w:rPr>
        <w:t>政府采购合同参考范本</w:t>
      </w:r>
    </w:p>
    <w:p>
      <w:pPr>
        <w:rPr>
          <w:rFonts w:ascii="楷体" w:hAnsi="楷体" w:eastAsia="楷体"/>
          <w:color w:val="auto"/>
          <w:sz w:val="24"/>
          <w:highlight w:val="none"/>
        </w:rPr>
      </w:pPr>
    </w:p>
    <w:p>
      <w:pPr>
        <w:rPr>
          <w:rFonts w:ascii="仿宋" w:hAnsi="仿宋" w:eastAsia="仿宋"/>
          <w:color w:val="auto"/>
          <w:sz w:val="24"/>
          <w:highlight w:val="none"/>
          <w:u w:val="single"/>
        </w:rPr>
      </w:pPr>
      <w:r>
        <w:rPr>
          <w:rFonts w:hint="eastAsia" w:ascii="仿宋" w:hAnsi="仿宋" w:eastAsia="仿宋"/>
          <w:color w:val="auto"/>
          <w:sz w:val="24"/>
          <w:highlight w:val="none"/>
        </w:rPr>
        <w:t>合同编号：</w:t>
      </w:r>
    </w:p>
    <w:p>
      <w:pPr>
        <w:spacing w:line="480" w:lineRule="auto"/>
        <w:jc w:val="center"/>
        <w:rPr>
          <w:rFonts w:ascii="仿宋" w:hAnsi="仿宋" w:eastAsia="仿宋"/>
          <w:b/>
          <w:color w:val="auto"/>
          <w:sz w:val="28"/>
          <w:szCs w:val="28"/>
          <w:highlight w:val="none"/>
        </w:rPr>
      </w:pPr>
    </w:p>
    <w:p>
      <w:pPr>
        <w:spacing w:line="480" w:lineRule="auto"/>
        <w:jc w:val="center"/>
        <w:rPr>
          <w:rFonts w:ascii="仿宋" w:hAnsi="仿宋" w:eastAsia="仿宋"/>
          <w:b/>
          <w:color w:val="auto"/>
          <w:sz w:val="24"/>
          <w:highlight w:val="none"/>
        </w:rPr>
      </w:pPr>
    </w:p>
    <w:p>
      <w:pPr>
        <w:spacing w:line="480" w:lineRule="auto"/>
        <w:jc w:val="center"/>
        <w:rPr>
          <w:rFonts w:ascii="仿宋" w:hAnsi="仿宋" w:eastAsia="仿宋"/>
          <w:b/>
          <w:color w:val="auto"/>
          <w:sz w:val="24"/>
          <w:highlight w:val="none"/>
        </w:rPr>
      </w:pPr>
    </w:p>
    <w:p>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政府采购合同参考范本</w:t>
      </w:r>
    </w:p>
    <w:p>
      <w:pPr>
        <w:spacing w:line="480" w:lineRule="auto"/>
        <w:jc w:val="center"/>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w:t>
      </w:r>
      <w:r>
        <w:rPr>
          <w:rFonts w:hint="eastAsia" w:ascii="仿宋" w:hAnsi="仿宋" w:eastAsia="仿宋" w:cs="仿宋_GB2312"/>
          <w:b/>
          <w:color w:val="auto"/>
          <w:sz w:val="36"/>
          <w:szCs w:val="36"/>
          <w:highlight w:val="none"/>
          <w:lang w:val="en-US" w:eastAsia="zh-CN"/>
        </w:rPr>
        <w:t>货物</w:t>
      </w:r>
      <w:r>
        <w:rPr>
          <w:rFonts w:hint="eastAsia" w:ascii="仿宋" w:hAnsi="仿宋" w:eastAsia="仿宋" w:cs="仿宋_GB2312"/>
          <w:b/>
          <w:color w:val="auto"/>
          <w:sz w:val="36"/>
          <w:szCs w:val="36"/>
          <w:highlight w:val="none"/>
        </w:rPr>
        <w:t>类）</w:t>
      </w:r>
    </w:p>
    <w:p>
      <w:pPr>
        <w:pStyle w:val="284"/>
        <w:rPr>
          <w:rFonts w:ascii="仿宋" w:hAnsi="仿宋" w:eastAsia="仿宋"/>
          <w:color w:val="auto"/>
          <w:szCs w:val="24"/>
          <w:highlight w:val="none"/>
        </w:rPr>
      </w:pPr>
    </w:p>
    <w:p>
      <w:pPr>
        <w:pStyle w:val="284"/>
        <w:rPr>
          <w:rFonts w:ascii="仿宋" w:hAnsi="仿宋" w:eastAsia="仿宋"/>
          <w:color w:val="auto"/>
          <w:szCs w:val="24"/>
          <w:highlight w:val="none"/>
        </w:rPr>
      </w:pPr>
    </w:p>
    <w:p>
      <w:pPr>
        <w:pStyle w:val="284"/>
        <w:jc w:val="center"/>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0"/>
        <w:rPr>
          <w:rFonts w:ascii="仿宋" w:hAnsi="仿宋" w:eastAsia="仿宋"/>
          <w:color w:val="auto"/>
          <w:szCs w:val="24"/>
          <w:highlight w:val="none"/>
        </w:rPr>
      </w:pPr>
    </w:p>
    <w:p>
      <w:pPr>
        <w:pStyle w:val="284"/>
        <w:ind w:firstLine="2843" w:firstLineChars="1180"/>
        <w:rPr>
          <w:rFonts w:ascii="仿宋" w:hAnsi="仿宋" w:eastAsia="仿宋"/>
          <w:b/>
          <w:color w:val="auto"/>
          <w:szCs w:val="24"/>
          <w:highlight w:val="none"/>
        </w:rPr>
      </w:pPr>
      <w:r>
        <w:rPr>
          <w:rFonts w:hint="eastAsia" w:ascii="仿宋" w:hAnsi="仿宋" w:eastAsia="仿宋"/>
          <w:b/>
          <w:color w:val="auto"/>
          <w:szCs w:val="24"/>
          <w:highlight w:val="none"/>
        </w:rPr>
        <w:t>第一部分  合同书</w:t>
      </w:r>
    </w:p>
    <w:p>
      <w:pPr>
        <w:pStyle w:val="284"/>
        <w:rPr>
          <w:rFonts w:ascii="仿宋" w:hAnsi="仿宋" w:eastAsia="仿宋"/>
          <w:color w:val="auto"/>
          <w:szCs w:val="24"/>
          <w:highlight w:val="none"/>
        </w:rPr>
      </w:pPr>
    </w:p>
    <w:p>
      <w:pPr>
        <w:pStyle w:val="284"/>
        <w:rPr>
          <w:rFonts w:ascii="仿宋" w:hAnsi="仿宋" w:eastAsia="仿宋"/>
          <w:color w:val="auto"/>
          <w:szCs w:val="24"/>
          <w:highlight w:val="none"/>
        </w:rPr>
      </w:pP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p>
    <w:p>
      <w:pPr>
        <w:pStyle w:val="283"/>
        <w:spacing w:before="120" w:line="22" w:lineRule="atLeast"/>
        <w:rPr>
          <w:rFonts w:ascii="仿宋" w:hAnsi="仿宋" w:eastAsia="仿宋"/>
          <w:color w:val="auto"/>
          <w:szCs w:val="24"/>
          <w:highlight w:val="none"/>
        </w:rPr>
      </w:pPr>
    </w:p>
    <w:p>
      <w:pPr>
        <w:pStyle w:val="283"/>
        <w:spacing w:before="120" w:line="22" w:lineRule="atLeast"/>
        <w:rPr>
          <w:rFonts w:ascii="仿宋" w:hAnsi="仿宋" w:eastAsia="仿宋"/>
          <w:color w:val="auto"/>
          <w:szCs w:val="24"/>
          <w:highlight w:val="none"/>
        </w:rPr>
      </w:pPr>
    </w:p>
    <w:p>
      <w:pPr>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签订日期：年月日</w:t>
      </w:r>
    </w:p>
    <w:p>
      <w:pPr>
        <w:widowControl/>
        <w:jc w:val="left"/>
        <w:rPr>
          <w:rFonts w:ascii="仿宋" w:hAnsi="仿宋" w:eastAsia="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年月日</w:t>
      </w:r>
      <w:r>
        <w:rPr>
          <w:rFonts w:hint="eastAsia" w:ascii="仿宋" w:hAnsi="仿宋" w:eastAsia="仿宋"/>
          <w:color w:val="auto"/>
          <w:sz w:val="24"/>
          <w:highlight w:val="none"/>
        </w:rPr>
        <w:t>，</w:t>
      </w:r>
      <w:r>
        <w:rPr>
          <w:rFonts w:hint="eastAsia" w:ascii="仿宋" w:hAnsi="仿宋" w:eastAsia="仿宋"/>
          <w:color w:val="auto"/>
          <w:sz w:val="24"/>
          <w:highlight w:val="none"/>
          <w:u w:val="single"/>
        </w:rPr>
        <w:t>（采购人）</w:t>
      </w:r>
      <w:r>
        <w:rPr>
          <w:rFonts w:hint="eastAsia" w:ascii="仿宋" w:hAnsi="仿宋" w:eastAsia="仿宋"/>
          <w:color w:val="auto"/>
          <w:sz w:val="24"/>
          <w:highlight w:val="none"/>
        </w:rPr>
        <w:t>以</w:t>
      </w:r>
      <w:r>
        <w:rPr>
          <w:rFonts w:ascii="仿宋" w:hAnsi="仿宋" w:eastAsia="仿宋"/>
          <w:color w:val="auto"/>
          <w:sz w:val="24"/>
          <w:highlight w:val="none"/>
          <w:u w:val="single"/>
        </w:rPr>
        <w:t xml:space="preserve">   （政府采购方式）  </w:t>
      </w:r>
      <w:r>
        <w:rPr>
          <w:rFonts w:hint="eastAsia" w:ascii="仿宋" w:hAnsi="仿宋" w:eastAsia="仿宋"/>
          <w:color w:val="auto"/>
          <w:sz w:val="24"/>
          <w:highlight w:val="none"/>
        </w:rPr>
        <w:t>对</w:t>
      </w:r>
      <w:r>
        <w:rPr>
          <w:rFonts w:ascii="仿宋" w:hAnsi="仿宋" w:eastAsia="仿宋"/>
          <w:color w:val="auto"/>
          <w:sz w:val="24"/>
          <w:highlight w:val="none"/>
          <w:u w:val="single"/>
        </w:rPr>
        <w:t xml:space="preserve">   （同前</w:t>
      </w:r>
      <w:r>
        <w:rPr>
          <w:rFonts w:hint="eastAsia" w:ascii="仿宋" w:hAnsi="仿宋" w:eastAsia="仿宋"/>
          <w:color w:val="auto"/>
          <w:sz w:val="24"/>
          <w:highlight w:val="none"/>
          <w:u w:val="single"/>
        </w:rPr>
        <w:t>页项目名称）</w:t>
      </w:r>
      <w:r>
        <w:rPr>
          <w:rFonts w:hint="eastAsia" w:ascii="仿宋" w:hAnsi="仿宋" w:eastAsia="仿宋"/>
          <w:color w:val="auto"/>
          <w:sz w:val="24"/>
          <w:highlight w:val="none"/>
        </w:rPr>
        <w:t>项目进行了采购。经</w:t>
      </w:r>
      <w:r>
        <w:rPr>
          <w:rFonts w:ascii="仿宋" w:hAnsi="仿宋" w:eastAsia="仿宋"/>
          <w:color w:val="auto"/>
          <w:sz w:val="24"/>
          <w:highlight w:val="none"/>
          <w:u w:val="single"/>
        </w:rPr>
        <w:t xml:space="preserve">   （相关评定主体名称）   </w:t>
      </w:r>
      <w:r>
        <w:rPr>
          <w:rFonts w:hint="eastAsia" w:ascii="仿宋" w:hAnsi="仿宋" w:eastAsia="仿宋"/>
          <w:color w:val="auto"/>
          <w:sz w:val="24"/>
          <w:highlight w:val="none"/>
        </w:rPr>
        <w:t>评定，</w:t>
      </w:r>
      <w:r>
        <w:rPr>
          <w:rFonts w:ascii="仿宋" w:hAnsi="仿宋" w:eastAsia="仿宋"/>
          <w:color w:val="auto"/>
          <w:sz w:val="24"/>
          <w:highlight w:val="none"/>
          <w:u w:val="single"/>
        </w:rPr>
        <w:t xml:space="preserve">   （中标供应商名称）</w:t>
      </w:r>
      <w:r>
        <w:rPr>
          <w:rFonts w:hint="eastAsia" w:ascii="仿宋" w:hAnsi="仿宋" w:eastAsia="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olor w:val="auto"/>
          <w:sz w:val="24"/>
          <w:highlight w:val="none"/>
          <w:u w:val="single"/>
        </w:rPr>
        <w:t>（采购人）</w:t>
      </w:r>
      <w:r>
        <w:rPr>
          <w:rFonts w:ascii="仿宋" w:hAnsi="仿宋" w:eastAsia="仿宋"/>
          <w:color w:val="auto"/>
          <w:sz w:val="24"/>
          <w:highlight w:val="none"/>
          <w:lang w:val="zh-CN"/>
        </w:rPr>
        <w:t>(以下简称：甲方)和</w:t>
      </w:r>
      <w:r>
        <w:rPr>
          <w:rFonts w:ascii="仿宋" w:hAnsi="仿宋" w:eastAsia="仿宋"/>
          <w:color w:val="auto"/>
          <w:sz w:val="24"/>
          <w:highlight w:val="none"/>
          <w:u w:val="single"/>
        </w:rPr>
        <w:t xml:space="preserve">   （中标供应商名称）   </w:t>
      </w:r>
      <w:r>
        <w:rPr>
          <w:rFonts w:ascii="仿宋" w:hAnsi="仿宋" w:eastAsia="仿宋"/>
          <w:color w:val="auto"/>
          <w:sz w:val="24"/>
          <w:highlight w:val="none"/>
          <w:lang w:val="zh-CN"/>
        </w:rPr>
        <w:t>(以下简称：乙方)协商一致，约定以下合同</w:t>
      </w:r>
      <w:r>
        <w:rPr>
          <w:rFonts w:hint="eastAsia" w:ascii="仿宋" w:hAnsi="仿宋" w:eastAsia="仿宋"/>
          <w:color w:val="auto"/>
          <w:sz w:val="24"/>
          <w:highlight w:val="none"/>
        </w:rPr>
        <w:t>条款，以兹共同遵守、全面履行。</w:t>
      </w:r>
    </w:p>
    <w:p>
      <w:pPr>
        <w:spacing w:line="560" w:lineRule="exact"/>
        <w:ind w:firstLine="482" w:firstLineChars="200"/>
        <w:outlineLvl w:val="0"/>
        <w:rPr>
          <w:rFonts w:ascii="仿宋" w:hAnsi="仿宋" w:eastAsia="仿宋"/>
          <w:b/>
          <w:color w:val="auto"/>
          <w:sz w:val="24"/>
          <w:highlight w:val="none"/>
        </w:rPr>
      </w:pPr>
      <w:bookmarkStart w:id="35" w:name="_Toc24059"/>
      <w:bookmarkStart w:id="36" w:name="_Toc2232"/>
      <w:bookmarkStart w:id="37" w:name="_Toc3029"/>
      <w:r>
        <w:rPr>
          <w:rFonts w:ascii="仿宋" w:hAnsi="仿宋" w:eastAsia="仿宋"/>
          <w:b/>
          <w:color w:val="auto"/>
          <w:sz w:val="24"/>
          <w:highlight w:val="none"/>
        </w:rPr>
        <w:t xml:space="preserve">1.1 </w:t>
      </w:r>
      <w:r>
        <w:rPr>
          <w:rFonts w:hint="eastAsia" w:ascii="仿宋" w:hAnsi="仿宋" w:eastAsia="仿宋"/>
          <w:b/>
          <w:color w:val="auto"/>
          <w:sz w:val="24"/>
          <w:highlight w:val="none"/>
        </w:rPr>
        <w:t>合同组成部分</w:t>
      </w:r>
      <w:bookmarkEnd w:id="35"/>
      <w:bookmarkEnd w:id="36"/>
      <w:bookmarkEnd w:id="37"/>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1.1.1 </w:t>
      </w:r>
      <w:r>
        <w:rPr>
          <w:rFonts w:hint="eastAsia" w:ascii="仿宋" w:hAnsi="仿宋" w:eastAsia="仿宋"/>
          <w:color w:val="auto"/>
          <w:sz w:val="24"/>
          <w:highlight w:val="none"/>
        </w:rPr>
        <w:t>本合同及其补充合同、变更协议；</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1.1.2 </w:t>
      </w:r>
      <w:r>
        <w:rPr>
          <w:rFonts w:hint="eastAsia" w:ascii="仿宋" w:hAnsi="仿宋" w:eastAsia="仿宋"/>
          <w:color w:val="auto"/>
          <w:sz w:val="24"/>
          <w:highlight w:val="none"/>
        </w:rPr>
        <w:t>中标通知书；</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1.1.3 </w:t>
      </w:r>
      <w:r>
        <w:rPr>
          <w:rFonts w:hint="eastAsia" w:ascii="仿宋" w:hAnsi="仿宋" w:eastAsia="仿宋"/>
          <w:color w:val="auto"/>
          <w:sz w:val="24"/>
          <w:highlight w:val="none"/>
        </w:rPr>
        <w:t>投标文件（含澄清或者说明文件）；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1.1.4 </w:t>
      </w:r>
      <w:r>
        <w:rPr>
          <w:rFonts w:hint="eastAsia" w:ascii="仿宋" w:hAnsi="仿宋" w:eastAsia="仿宋"/>
          <w:color w:val="auto"/>
          <w:sz w:val="24"/>
          <w:highlight w:val="none"/>
        </w:rPr>
        <w:t>招标文件（含澄清或者修改文件）；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1.1.5 </w:t>
      </w:r>
      <w:r>
        <w:rPr>
          <w:rFonts w:hint="eastAsia" w:ascii="仿宋" w:hAnsi="仿宋" w:eastAsia="仿宋"/>
          <w:color w:val="auto"/>
          <w:sz w:val="24"/>
          <w:highlight w:val="none"/>
        </w:rPr>
        <w:t>其他相关采购文件。</w:t>
      </w:r>
    </w:p>
    <w:p>
      <w:pPr>
        <w:spacing w:line="560" w:lineRule="exact"/>
        <w:ind w:firstLine="482" w:firstLineChars="200"/>
        <w:outlineLvl w:val="0"/>
        <w:rPr>
          <w:rFonts w:ascii="仿宋" w:hAnsi="仿宋" w:eastAsia="仿宋"/>
          <w:b/>
          <w:color w:val="auto"/>
          <w:sz w:val="24"/>
          <w:highlight w:val="none"/>
        </w:rPr>
      </w:pPr>
      <w:bookmarkStart w:id="38" w:name="_Toc21295"/>
      <w:bookmarkStart w:id="39" w:name="_Toc24300"/>
      <w:bookmarkStart w:id="40" w:name="_Toc27126"/>
      <w:r>
        <w:rPr>
          <w:rFonts w:ascii="仿宋" w:hAnsi="仿宋" w:eastAsia="仿宋"/>
          <w:b/>
          <w:color w:val="auto"/>
          <w:sz w:val="24"/>
          <w:highlight w:val="none"/>
        </w:rPr>
        <w:t xml:space="preserve">1.2 </w:t>
      </w:r>
      <w:bookmarkEnd w:id="38"/>
      <w:bookmarkEnd w:id="39"/>
      <w:bookmarkEnd w:id="40"/>
      <w:r>
        <w:rPr>
          <w:rFonts w:hint="eastAsia" w:ascii="仿宋" w:hAnsi="仿宋" w:eastAsia="仿宋"/>
          <w:b/>
          <w:color w:val="auto"/>
          <w:sz w:val="24"/>
          <w:highlight w:val="none"/>
        </w:rPr>
        <w:t>服务</w:t>
      </w:r>
    </w:p>
    <w:p>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1.2.1 </w:t>
      </w:r>
      <w:r>
        <w:rPr>
          <w:rFonts w:hint="eastAsia" w:ascii="仿宋" w:hAnsi="仿宋" w:eastAsia="仿宋"/>
          <w:color w:val="auto"/>
          <w:sz w:val="24"/>
          <w:highlight w:val="none"/>
        </w:rPr>
        <w:t>服务内容：；</w:t>
      </w:r>
    </w:p>
    <w:p>
      <w:pPr>
        <w:spacing w:line="56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1.2.2</w:t>
      </w:r>
      <w:r>
        <w:rPr>
          <w:rFonts w:hint="eastAsia" w:ascii="仿宋" w:hAnsi="仿宋" w:eastAsia="仿宋"/>
          <w:color w:val="auto"/>
          <w:sz w:val="24"/>
          <w:highlight w:val="none"/>
        </w:rPr>
        <w:t>服务数量：；</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1.2.3 </w:t>
      </w:r>
      <w:r>
        <w:rPr>
          <w:rFonts w:hint="eastAsia" w:ascii="仿宋" w:hAnsi="仿宋" w:eastAsia="仿宋"/>
          <w:color w:val="auto"/>
          <w:sz w:val="24"/>
          <w:highlight w:val="none"/>
        </w:rPr>
        <w:t>服务质量：</w:t>
      </w:r>
      <w:r>
        <w:rPr>
          <w:rFonts w:hint="eastAsia" w:ascii="仿宋" w:hAnsi="仿宋" w:eastAsia="仿宋"/>
          <w:color w:val="auto"/>
          <w:sz w:val="24"/>
          <w:highlight w:val="none"/>
          <w:u w:val="single"/>
        </w:rPr>
        <w:t>　　　　　　　　　</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41" w:name="_Toc21551"/>
      <w:bookmarkStart w:id="42" w:name="_Toc23292"/>
      <w:bookmarkStart w:id="43" w:name="_Toc21631"/>
      <w:r>
        <w:rPr>
          <w:rFonts w:ascii="仿宋" w:hAnsi="仿宋" w:eastAsia="仿宋"/>
          <w:b/>
          <w:color w:val="auto"/>
          <w:sz w:val="24"/>
          <w:highlight w:val="none"/>
        </w:rPr>
        <w:t xml:space="preserve">1.3 </w:t>
      </w:r>
      <w:r>
        <w:rPr>
          <w:rFonts w:hint="eastAsia" w:ascii="仿宋" w:hAnsi="仿宋" w:eastAsia="仿宋"/>
          <w:b/>
          <w:color w:val="auto"/>
          <w:sz w:val="24"/>
          <w:highlight w:val="none"/>
        </w:rPr>
        <w:t>价款</w:t>
      </w:r>
      <w:bookmarkEnd w:id="41"/>
      <w:bookmarkEnd w:id="42"/>
      <w:bookmarkEnd w:id="43"/>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本合同总价为：￥元（大写：元人民币）。</w:t>
      </w:r>
    </w:p>
    <w:p>
      <w:pPr>
        <w:spacing w:line="560" w:lineRule="exact"/>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9"/>
              <w:spacing w:line="560" w:lineRule="exact"/>
              <w:ind w:firstLine="200"/>
              <w:jc w:val="center"/>
              <w:rPr>
                <w:rFonts w:ascii="仿宋" w:hAnsi="仿宋" w:eastAsia="仿宋"/>
                <w:color w:val="auto"/>
                <w:sz w:val="24"/>
                <w:szCs w:val="24"/>
                <w:highlight w:val="none"/>
              </w:rPr>
            </w:pPr>
          </w:p>
        </w:tc>
      </w:tr>
    </w:tbl>
    <w:p>
      <w:pPr>
        <w:spacing w:line="440" w:lineRule="exact"/>
        <w:ind w:firstLine="482" w:firstLineChars="200"/>
        <w:outlineLvl w:val="0"/>
        <w:rPr>
          <w:rFonts w:ascii="仿宋" w:hAnsi="仿宋" w:eastAsia="仿宋"/>
          <w:b/>
          <w:color w:val="auto"/>
          <w:sz w:val="24"/>
          <w:highlight w:val="none"/>
        </w:rPr>
      </w:pPr>
      <w:bookmarkStart w:id="44" w:name="_Toc1814"/>
      <w:bookmarkStart w:id="45" w:name="_Toc10340"/>
      <w:bookmarkStart w:id="46" w:name="_Toc22618"/>
      <w:r>
        <w:rPr>
          <w:rFonts w:ascii="仿宋" w:hAnsi="仿宋" w:eastAsia="仿宋"/>
          <w:b/>
          <w:color w:val="auto"/>
          <w:sz w:val="24"/>
          <w:highlight w:val="none"/>
        </w:rPr>
        <w:t xml:space="preserve">1.4 </w:t>
      </w:r>
      <w:r>
        <w:rPr>
          <w:rFonts w:hint="eastAsia" w:ascii="仿宋" w:hAnsi="仿宋" w:eastAsia="仿宋"/>
          <w:b/>
          <w:color w:val="auto"/>
          <w:sz w:val="24"/>
          <w:highlight w:val="none"/>
        </w:rPr>
        <w:t>付款</w:t>
      </w:r>
      <w:bookmarkEnd w:id="44"/>
      <w:bookmarkEnd w:id="45"/>
      <w:bookmarkEnd w:id="46"/>
      <w:r>
        <w:rPr>
          <w:rFonts w:hint="eastAsia" w:ascii="仿宋" w:hAnsi="仿宋" w:eastAsia="仿宋"/>
          <w:b/>
          <w:color w:val="auto"/>
          <w:sz w:val="24"/>
          <w:highlight w:val="none"/>
        </w:rPr>
        <w:t>方式、时间和条件</w:t>
      </w:r>
    </w:p>
    <w:p>
      <w:pPr>
        <w:pStyle w:val="285"/>
        <w:spacing w:before="0" w:beforeAutospacing="0" w:after="0" w:afterAutospacing="0" w:line="440" w:lineRule="exact"/>
        <w:ind w:firstLine="480"/>
        <w:rPr>
          <w:rFonts w:ascii="仿宋" w:hAnsi="仿宋" w:eastAsia="仿宋" w:cs="Times New Roman"/>
          <w:color w:val="auto"/>
          <w:highlight w:val="none"/>
        </w:rPr>
      </w:pPr>
      <w:r>
        <w:rPr>
          <w:rFonts w:ascii="仿宋" w:hAnsi="仿宋" w:eastAsia="仿宋" w:cs="Times New Roman"/>
          <w:color w:val="auto"/>
          <w:highlight w:val="none"/>
        </w:rPr>
        <w:t>1.4.1</w:t>
      </w:r>
      <w:r>
        <w:rPr>
          <w:rFonts w:hint="eastAsia" w:ascii="仿宋" w:hAnsi="仿宋" w:eastAsia="仿宋" w:cs="Times New Roman"/>
          <w:color w:val="auto"/>
          <w:highlight w:val="none"/>
        </w:rPr>
        <w:t>甲方应严格履行合同，及时组织验收，验收合格后及时将合同款支付完毕。对于满足合同约定支付条件的，甲方自收到发票后</w:t>
      </w:r>
      <w:r>
        <w:rPr>
          <w:rFonts w:ascii="仿宋" w:hAnsi="仿宋" w:eastAsia="仿宋" w:cs="Times New Roman"/>
          <w:color w:val="auto"/>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1.4.2甲方在政府采购合同中约定预付款，</w:t>
      </w:r>
      <w:r>
        <w:rPr>
          <w:rFonts w:hint="eastAsia" w:ascii="仿宋" w:hAnsi="仿宋" w:eastAsia="仿宋"/>
          <w:color w:val="auto"/>
          <w:sz w:val="24"/>
          <w:highlight w:val="none"/>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1.4.3</w:t>
      </w:r>
      <w:r>
        <w:rPr>
          <w:rFonts w:hint="eastAsia" w:ascii="仿宋" w:hAnsi="仿宋" w:eastAsia="仿宋"/>
          <w:color w:val="auto"/>
          <w:sz w:val="24"/>
          <w:highlight w:val="none"/>
        </w:rPr>
        <w:t>甲方迟延支付乙方款项的，向乙方支付逾期利息。双方可以在合同专用条款中约定逾期利率，约定利率不得低于合同订立时</w:t>
      </w:r>
      <w:r>
        <w:rPr>
          <w:rFonts w:ascii="仿宋" w:hAnsi="仿宋" w:eastAsia="仿宋"/>
          <w:color w:val="auto"/>
          <w:sz w:val="24"/>
          <w:highlight w:val="none"/>
        </w:rPr>
        <w:t>1年</w:t>
      </w:r>
      <w:r>
        <w:rPr>
          <w:rFonts w:hint="eastAsia" w:ascii="仿宋" w:hAnsi="仿宋" w:eastAsia="仿宋"/>
          <w:color w:val="auto"/>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color w:val="auto"/>
          <w:sz w:val="24"/>
          <w:highlight w:val="none"/>
        </w:rPr>
      </w:pPr>
      <w:r>
        <w:rPr>
          <w:rFonts w:ascii="仿宋" w:hAnsi="仿宋" w:eastAsia="仿宋"/>
          <w:color w:val="auto"/>
          <w:sz w:val="24"/>
          <w:highlight w:val="none"/>
        </w:rPr>
        <w:t>1.4.4资金支付的方式、时间和条件详见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440" w:lineRule="exact"/>
        <w:ind w:firstLine="482" w:firstLineChars="200"/>
        <w:outlineLvl w:val="0"/>
        <w:rPr>
          <w:rFonts w:ascii="仿宋" w:hAnsi="仿宋" w:eastAsia="仿宋"/>
          <w:b/>
          <w:color w:val="auto"/>
          <w:sz w:val="24"/>
          <w:highlight w:val="none"/>
        </w:rPr>
      </w:pPr>
      <w:bookmarkStart w:id="47" w:name="_Toc19304"/>
      <w:bookmarkStart w:id="48" w:name="_Toc2846"/>
      <w:bookmarkStart w:id="49" w:name="_Toc32071"/>
      <w:r>
        <w:rPr>
          <w:rFonts w:ascii="仿宋" w:hAnsi="仿宋" w:eastAsia="仿宋"/>
          <w:b/>
          <w:color w:val="auto"/>
          <w:sz w:val="24"/>
          <w:highlight w:val="none"/>
        </w:rPr>
        <w:t>1.5</w:t>
      </w:r>
      <w:r>
        <w:rPr>
          <w:rFonts w:hint="eastAsia" w:ascii="仿宋" w:hAnsi="仿宋" w:eastAsia="仿宋"/>
          <w:b/>
          <w:color w:val="auto"/>
          <w:sz w:val="24"/>
          <w:highlight w:val="none"/>
        </w:rPr>
        <w:t>交付期限、地点和方式</w:t>
      </w:r>
      <w:bookmarkEnd w:id="47"/>
      <w:bookmarkEnd w:id="48"/>
      <w:bookmarkEnd w:id="49"/>
    </w:p>
    <w:p>
      <w:pPr>
        <w:spacing w:line="440" w:lineRule="exact"/>
        <w:ind w:firstLine="480" w:firstLineChars="200"/>
        <w:rPr>
          <w:rFonts w:ascii="仿宋" w:hAnsi="仿宋" w:eastAsia="仿宋"/>
          <w:color w:val="auto"/>
          <w:sz w:val="24"/>
          <w:highlight w:val="none"/>
          <w:u w:val="single"/>
        </w:rPr>
      </w:pPr>
      <w:r>
        <w:rPr>
          <w:rFonts w:ascii="仿宋" w:hAnsi="仿宋" w:eastAsia="仿宋"/>
          <w:color w:val="auto"/>
          <w:sz w:val="24"/>
          <w:highlight w:val="none"/>
        </w:rPr>
        <w:t xml:space="preserve">1.5.1 </w:t>
      </w:r>
      <w:r>
        <w:rPr>
          <w:rFonts w:hint="eastAsia" w:ascii="仿宋" w:hAnsi="仿宋" w:eastAsia="仿宋"/>
          <w:color w:val="auto"/>
          <w:sz w:val="24"/>
          <w:highlight w:val="none"/>
        </w:rPr>
        <w:t>交付期限：</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44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1.5.2 </w:t>
      </w:r>
      <w:r>
        <w:rPr>
          <w:rFonts w:hint="eastAsia" w:ascii="仿宋" w:hAnsi="仿宋" w:eastAsia="仿宋"/>
          <w:color w:val="auto"/>
          <w:sz w:val="24"/>
          <w:highlight w:val="none"/>
        </w:rPr>
        <w:t>交付地点：</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1.5.3 </w:t>
      </w:r>
      <w:r>
        <w:rPr>
          <w:rFonts w:hint="eastAsia" w:ascii="仿宋" w:hAnsi="仿宋" w:eastAsia="仿宋"/>
          <w:color w:val="auto"/>
          <w:sz w:val="24"/>
          <w:highlight w:val="none"/>
        </w:rPr>
        <w:t>交付方式：</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50" w:name="_Toc27250"/>
      <w:bookmarkStart w:id="51" w:name="_Toc21423"/>
      <w:bookmarkStart w:id="52" w:name="_Toc19554"/>
      <w:r>
        <w:rPr>
          <w:rFonts w:ascii="仿宋" w:hAnsi="仿宋" w:eastAsia="仿宋"/>
          <w:b/>
          <w:color w:val="auto"/>
          <w:sz w:val="24"/>
          <w:highlight w:val="none"/>
        </w:rPr>
        <w:t xml:space="preserve">1.6 </w:t>
      </w:r>
      <w:r>
        <w:rPr>
          <w:rFonts w:hint="eastAsia" w:ascii="仿宋" w:hAnsi="仿宋" w:eastAsia="仿宋"/>
          <w:b/>
          <w:color w:val="auto"/>
          <w:sz w:val="24"/>
          <w:highlight w:val="none"/>
        </w:rPr>
        <w:t>违约责任</w:t>
      </w:r>
      <w:bookmarkEnd w:id="50"/>
      <w:bookmarkEnd w:id="51"/>
      <w:bookmarkEnd w:id="52"/>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1.6.1 </w:t>
      </w:r>
      <w:r>
        <w:rPr>
          <w:rFonts w:hint="eastAsia" w:ascii="仿宋" w:hAnsi="仿宋" w:eastAsia="仿宋"/>
          <w:color w:val="auto"/>
          <w:sz w:val="24"/>
          <w:highlight w:val="none"/>
        </w:rPr>
        <w:t>除不可抗力外，如果乙方没有按照本合同约定的期限、地点和方式提供服务，那么甲方可要求乙方支付违约金，违约金按每迟延交付一日的应提供服务而未交付价格的</w:t>
      </w:r>
      <w:r>
        <w:rPr>
          <w:rFonts w:ascii="仿宋" w:hAnsi="仿宋" w:eastAsia="仿宋"/>
          <w:color w:val="auto"/>
          <w:sz w:val="24"/>
          <w:highlight w:val="none"/>
        </w:rPr>
        <w:t>%计算，最高限额为本合同总价的%；迟延交付的违约金计算数额达到前述最高限额之日起，甲方有权在要求乙方支付违约金的同时，书面通知乙方解除本合同；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1.6.2 </w:t>
      </w:r>
      <w:r>
        <w:rPr>
          <w:rFonts w:hint="eastAsia" w:ascii="仿宋" w:hAnsi="仿宋" w:eastAsia="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auto"/>
          <w:sz w:val="24"/>
          <w:highlight w:val="none"/>
        </w:rPr>
        <w:t>%计算，最高限额为本合同总价的%；迟延付款的违约金计算数额达到前述最高限额之日起，乙方有权在要求甲方支付违约金的同时，书面通知甲方解除本合同；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1.6.3 </w:t>
      </w:r>
      <w:r>
        <w:rPr>
          <w:rFonts w:hint="eastAsia" w:ascii="仿宋" w:hAnsi="仿宋" w:eastAsia="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1.6.4 </w:t>
      </w:r>
      <w:r>
        <w:rPr>
          <w:rFonts w:hint="eastAsia" w:ascii="仿宋" w:hAnsi="仿宋" w:eastAsia="仿宋"/>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1.6.5 </w:t>
      </w:r>
      <w:r>
        <w:rPr>
          <w:rFonts w:hint="eastAsia" w:ascii="仿宋" w:hAnsi="仿宋" w:eastAsia="仿宋"/>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1.6.6 </w:t>
      </w:r>
      <w:r>
        <w:rPr>
          <w:rFonts w:hint="eastAsia" w:ascii="仿宋" w:hAnsi="仿宋" w:eastAsia="仿宋"/>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olor w:val="auto"/>
          <w:highlight w:val="none"/>
        </w:rPr>
      </w:pPr>
      <w:r>
        <w:rPr>
          <w:rFonts w:hint="eastAsia" w:ascii="仿宋" w:hAnsi="仿宋" w:eastAsia="仿宋"/>
          <w:color w:val="auto"/>
          <w:sz w:val="24"/>
          <w:highlight w:val="none"/>
        </w:rPr>
        <w:t>1.6.7违约责任</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另有约定的，从其约定。</w:t>
      </w:r>
    </w:p>
    <w:p>
      <w:pPr>
        <w:spacing w:line="560" w:lineRule="exact"/>
        <w:ind w:firstLine="482" w:firstLineChars="200"/>
        <w:outlineLvl w:val="0"/>
        <w:rPr>
          <w:rFonts w:ascii="仿宋" w:hAnsi="仿宋" w:eastAsia="仿宋"/>
          <w:b/>
          <w:color w:val="auto"/>
          <w:sz w:val="24"/>
          <w:highlight w:val="none"/>
        </w:rPr>
      </w:pPr>
      <w:bookmarkStart w:id="53" w:name="_Toc28375"/>
      <w:bookmarkStart w:id="54" w:name="_Toc16021"/>
      <w:bookmarkStart w:id="55" w:name="_Toc15583"/>
      <w:r>
        <w:rPr>
          <w:rFonts w:ascii="仿宋" w:hAnsi="仿宋" w:eastAsia="仿宋"/>
          <w:b/>
          <w:color w:val="auto"/>
          <w:sz w:val="24"/>
          <w:highlight w:val="none"/>
        </w:rPr>
        <w:t xml:space="preserve">1.7 </w:t>
      </w:r>
      <w:r>
        <w:rPr>
          <w:rFonts w:hint="eastAsia" w:ascii="仿宋" w:hAnsi="仿宋" w:eastAsia="仿宋"/>
          <w:b/>
          <w:color w:val="auto"/>
          <w:sz w:val="24"/>
          <w:highlight w:val="none"/>
        </w:rPr>
        <w:t>合同争议的解决</w:t>
      </w:r>
      <w:bookmarkEnd w:id="53"/>
      <w:bookmarkEnd w:id="54"/>
      <w:bookmarkEnd w:id="55"/>
    </w:p>
    <w:p>
      <w:pPr>
        <w:spacing w:line="560" w:lineRule="exact"/>
        <w:ind w:left="-61" w:leftChars="-29" w:right="-420" w:rightChars="-200"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highlight w:val="none"/>
          <w:u w:val="single"/>
        </w:rPr>
        <w:t xml:space="preserve"> 合同专用条款  </w:t>
      </w:r>
      <w:r>
        <w:rPr>
          <w:rFonts w:hint="eastAsia" w:ascii="仿宋" w:hAnsi="仿宋" w:eastAsia="仿宋"/>
          <w:color w:val="auto"/>
          <w:sz w:val="24"/>
          <w:highlight w:val="none"/>
        </w:rPr>
        <w:t>条款规定的方式解决：</w:t>
      </w:r>
    </w:p>
    <w:p>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1.7.1 </w:t>
      </w:r>
      <w:r>
        <w:rPr>
          <w:rFonts w:hint="eastAsia" w:ascii="仿宋" w:hAnsi="仿宋" w:eastAsia="仿宋"/>
          <w:color w:val="auto"/>
          <w:sz w:val="24"/>
          <w:highlight w:val="none"/>
        </w:rPr>
        <w:t>将争议提交</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color w:val="auto"/>
          <w:sz w:val="24"/>
          <w:highlight w:val="none"/>
        </w:rPr>
      </w:pPr>
      <w:r>
        <w:rPr>
          <w:rFonts w:ascii="仿宋" w:hAnsi="仿宋" w:eastAsia="仿宋"/>
          <w:color w:val="auto"/>
          <w:sz w:val="24"/>
          <w:highlight w:val="none"/>
        </w:rPr>
        <w:t xml:space="preserve">1.7.2 </w:t>
      </w:r>
      <w:r>
        <w:rPr>
          <w:rFonts w:hint="eastAsia" w:ascii="仿宋" w:hAnsi="仿宋" w:eastAsia="仿宋"/>
          <w:color w:val="auto"/>
          <w:sz w:val="24"/>
          <w:highlight w:val="none"/>
        </w:rPr>
        <w:t>向</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人民法院起诉。</w:t>
      </w:r>
    </w:p>
    <w:p>
      <w:pPr>
        <w:spacing w:line="560" w:lineRule="exact"/>
        <w:ind w:firstLine="482" w:firstLineChars="200"/>
        <w:outlineLvl w:val="0"/>
        <w:rPr>
          <w:rFonts w:ascii="仿宋" w:hAnsi="仿宋" w:eastAsia="仿宋"/>
          <w:b/>
          <w:color w:val="auto"/>
          <w:sz w:val="24"/>
          <w:highlight w:val="none"/>
        </w:rPr>
      </w:pPr>
      <w:bookmarkStart w:id="56" w:name="_Toc11173"/>
      <w:bookmarkStart w:id="57" w:name="_Toc15322"/>
      <w:bookmarkStart w:id="58" w:name="_Toc7245"/>
      <w:r>
        <w:rPr>
          <w:rFonts w:ascii="仿宋" w:hAnsi="仿宋" w:eastAsia="仿宋"/>
          <w:b/>
          <w:color w:val="auto"/>
          <w:sz w:val="24"/>
          <w:highlight w:val="none"/>
        </w:rPr>
        <w:t xml:space="preserve">1.8 </w:t>
      </w:r>
      <w:r>
        <w:rPr>
          <w:rFonts w:hint="eastAsia" w:ascii="仿宋" w:hAnsi="仿宋" w:eastAsia="仿宋"/>
          <w:b/>
          <w:color w:val="auto"/>
          <w:sz w:val="24"/>
          <w:highlight w:val="none"/>
        </w:rPr>
        <w:t>合同生效</w:t>
      </w:r>
      <w:bookmarkEnd w:id="56"/>
      <w:bookmarkEnd w:id="57"/>
      <w:bookmarkEnd w:id="58"/>
    </w:p>
    <w:p>
      <w:pPr>
        <w:spacing w:line="560" w:lineRule="exact"/>
        <w:ind w:firstLine="480" w:firstLineChars="200"/>
        <w:rPr>
          <w:rFonts w:ascii="仿宋" w:hAnsi="仿宋" w:eastAsia="仿宋"/>
          <w:b/>
          <w:color w:val="auto"/>
          <w:sz w:val="24"/>
          <w:highlight w:val="none"/>
        </w:rPr>
      </w:pPr>
      <w:r>
        <w:rPr>
          <w:rFonts w:hint="eastAsia" w:ascii="仿宋" w:hAnsi="仿宋" w:eastAsia="仿宋"/>
          <w:color w:val="auto"/>
          <w:sz w:val="24"/>
          <w:highlight w:val="none"/>
        </w:rPr>
        <w:t>本合同自双方当事人盖章或者签字时生效。</w:t>
      </w:r>
    </w:p>
    <w:p>
      <w:pPr>
        <w:autoSpaceDE w:val="0"/>
        <w:autoSpaceDN w:val="0"/>
        <w:spacing w:line="240" w:lineRule="exact"/>
        <w:rPr>
          <w:rFonts w:ascii="仿宋" w:hAnsi="仿宋" w:eastAsia="仿宋"/>
          <w:color w:val="auto"/>
          <w:sz w:val="24"/>
          <w:highlight w:val="none"/>
          <w:lang w:val="zh-CN"/>
        </w:rPr>
      </w:pP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b/>
          <w:color w:val="auto"/>
          <w:sz w:val="24"/>
          <w:highlight w:val="none"/>
          <w:lang w:val="zh-CN"/>
        </w:rPr>
        <w:t>甲方</w:t>
      </w:r>
      <w:r>
        <w:rPr>
          <w:rFonts w:hint="eastAsia" w:ascii="仿宋" w:hAnsi="仿宋" w:eastAsia="仿宋"/>
          <w:color w:val="auto"/>
          <w:sz w:val="24"/>
          <w:highlight w:val="none"/>
          <w:lang w:val="zh-CN"/>
        </w:rPr>
        <w:t>：</w:t>
      </w:r>
      <w:r>
        <w:rPr>
          <w:rFonts w:ascii="仿宋" w:hAnsi="仿宋" w:eastAsia="仿宋"/>
          <w:b/>
          <w:color w:val="auto"/>
          <w:sz w:val="24"/>
          <w:highlight w:val="none"/>
          <w:lang w:val="zh-CN"/>
        </w:rPr>
        <w:t xml:space="preserve">      乙方</w:t>
      </w:r>
      <w:r>
        <w:rPr>
          <w:rFonts w:hint="eastAsia" w:ascii="仿宋" w:hAnsi="仿宋" w:eastAsia="仿宋"/>
          <w:color w:val="auto"/>
          <w:sz w:val="24"/>
          <w:highlight w:val="none"/>
          <w:lang w:val="zh-CN"/>
        </w:rPr>
        <w:t>：</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统一社会信用代码：统一社会信用代码或身份证号码：</w:t>
      </w:r>
    </w:p>
    <w:p>
      <w:pPr>
        <w:autoSpaceDE w:val="0"/>
        <w:autoSpaceDN w:val="0"/>
        <w:spacing w:line="240" w:lineRule="exact"/>
        <w:rPr>
          <w:rFonts w:ascii="仿宋" w:hAnsi="仿宋" w:eastAsia="仿宋"/>
          <w:color w:val="auto"/>
          <w:sz w:val="24"/>
          <w:highlight w:val="none"/>
          <w:lang w:val="zh-CN"/>
        </w:rPr>
      </w:pP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住所：住所：</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法定代表人或法定代表人</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授权代表（签字）：</w:t>
      </w:r>
      <w:r>
        <w:rPr>
          <w:rFonts w:ascii="仿宋" w:hAnsi="仿宋" w:eastAsia="仿宋"/>
          <w:color w:val="auto"/>
          <w:sz w:val="24"/>
          <w:highlight w:val="none"/>
          <w:lang w:val="zh-CN"/>
        </w:rPr>
        <w:t xml:space="preserve">                        或授权代表（签字）: </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联系人：联系人：</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约定送达地址：约定送达地址：</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邮政编码：邮政编码：</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电话</w:t>
      </w:r>
      <w:r>
        <w:rPr>
          <w:rFonts w:ascii="仿宋" w:hAnsi="仿宋" w:eastAsia="仿宋"/>
          <w:color w:val="auto"/>
          <w:sz w:val="24"/>
          <w:highlight w:val="none"/>
          <w:lang w:val="zh-CN"/>
        </w:rPr>
        <w:t xml:space="preserve">:                                    电话: </w:t>
      </w:r>
    </w:p>
    <w:p>
      <w:pPr>
        <w:autoSpaceDE w:val="0"/>
        <w:autoSpaceDN w:val="0"/>
        <w:spacing w:line="560" w:lineRule="exact"/>
        <w:rPr>
          <w:rFonts w:ascii="仿宋" w:hAnsi="仿宋" w:eastAsia="仿宋"/>
          <w:color w:val="auto"/>
          <w:sz w:val="24"/>
          <w:highlight w:val="none"/>
          <w:lang w:val="zh-CN"/>
        </w:rPr>
      </w:pP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 xml:space="preserve">:                                    </w:t>
      </w:r>
      <w:r>
        <w:rPr>
          <w:rFonts w:hint="eastAsia" w:ascii="仿宋" w:hAnsi="仿宋" w:eastAsia="仿宋"/>
          <w:color w:val="auto"/>
          <w:sz w:val="24"/>
          <w:highlight w:val="none"/>
          <w:lang w:val="zh-CN"/>
        </w:rPr>
        <w:t>传真</w:t>
      </w:r>
      <w:r>
        <w:rPr>
          <w:rFonts w:ascii="仿宋" w:hAnsi="仿宋" w:eastAsia="仿宋"/>
          <w:color w:val="auto"/>
          <w:sz w:val="24"/>
          <w:highlight w:val="none"/>
          <w:lang w:val="zh-CN"/>
        </w:rPr>
        <w:t>:</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lang w:val="zh-CN"/>
        </w:rPr>
        <w:t>电子邮箱：电子邮箱：</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开户银行：</w:t>
      </w:r>
      <w:r>
        <w:rPr>
          <w:rFonts w:ascii="仿宋" w:hAnsi="仿宋" w:eastAsia="仿宋"/>
          <w:color w:val="auto"/>
          <w:sz w:val="24"/>
          <w:highlight w:val="none"/>
        </w:rPr>
        <w:t xml:space="preserve">                               开户银行： </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开户名称：</w:t>
      </w:r>
      <w:r>
        <w:rPr>
          <w:rFonts w:ascii="仿宋" w:hAnsi="仿宋" w:eastAsia="仿宋"/>
          <w:color w:val="auto"/>
          <w:sz w:val="24"/>
          <w:highlight w:val="none"/>
        </w:rPr>
        <w:t xml:space="preserve">                               开户名称： </w:t>
      </w:r>
    </w:p>
    <w:p>
      <w:pPr>
        <w:autoSpaceDE w:val="0"/>
        <w:autoSpaceDN w:val="0"/>
        <w:spacing w:line="560" w:lineRule="exact"/>
        <w:rPr>
          <w:rFonts w:ascii="仿宋" w:hAnsi="仿宋" w:eastAsia="仿宋"/>
          <w:color w:val="auto"/>
          <w:sz w:val="24"/>
          <w:highlight w:val="none"/>
        </w:rPr>
      </w:pPr>
      <w:r>
        <w:rPr>
          <w:rFonts w:hint="eastAsia" w:ascii="仿宋" w:hAnsi="仿宋" w:eastAsia="仿宋"/>
          <w:color w:val="auto"/>
          <w:sz w:val="24"/>
          <w:highlight w:val="none"/>
        </w:rPr>
        <w:t>开户账号：开户账号：</w:t>
      </w:r>
    </w:p>
    <w:p>
      <w:pPr>
        <w:widowControl/>
        <w:spacing w:line="560" w:lineRule="exact"/>
        <w:jc w:val="left"/>
        <w:rPr>
          <w:rFonts w:ascii="仿宋" w:hAnsi="仿宋" w:eastAsia="仿宋"/>
          <w:b/>
          <w:color w:val="auto"/>
          <w:sz w:val="24"/>
          <w:highlight w:val="none"/>
        </w:rPr>
      </w:pPr>
      <w:bookmarkStart w:id="59" w:name="_Toc331685783"/>
    </w:p>
    <w:p>
      <w:pPr>
        <w:pStyle w:val="284"/>
        <w:pageBreakBefore/>
        <w:spacing w:line="560" w:lineRule="exact"/>
        <w:ind w:firstLine="723"/>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第二部分合同一般条款</w:t>
      </w:r>
      <w:bookmarkEnd w:id="59"/>
    </w:p>
    <w:p>
      <w:pPr>
        <w:spacing w:line="560" w:lineRule="exact"/>
        <w:ind w:firstLine="482" w:firstLineChars="200"/>
        <w:outlineLvl w:val="0"/>
        <w:rPr>
          <w:rFonts w:ascii="仿宋" w:hAnsi="仿宋" w:eastAsia="仿宋"/>
          <w:b/>
          <w:color w:val="auto"/>
          <w:sz w:val="24"/>
          <w:highlight w:val="none"/>
        </w:rPr>
      </w:pPr>
      <w:bookmarkStart w:id="60" w:name="_Ref467379094"/>
      <w:bookmarkStart w:id="61" w:name="_Ref467379214"/>
      <w:bookmarkStart w:id="62" w:name="_Toc279701240"/>
      <w:bookmarkStart w:id="63" w:name="_Toc19614"/>
      <w:bookmarkStart w:id="64" w:name="_Ref467379195"/>
      <w:bookmarkStart w:id="65" w:name="_Toc28763"/>
      <w:bookmarkStart w:id="66" w:name="_Ref467378404"/>
      <w:bookmarkStart w:id="67" w:name="_Ref467379109"/>
      <w:bookmarkStart w:id="68" w:name="_Ref467379225"/>
      <w:bookmarkStart w:id="69" w:name="_Toc487900349"/>
      <w:bookmarkStart w:id="70" w:name="_Ref467378463"/>
      <w:bookmarkStart w:id="71" w:name="_Ref467379205"/>
      <w:bookmarkStart w:id="72" w:name="_Toc259093669"/>
      <w:bookmarkStart w:id="73" w:name="_Toc16917"/>
      <w:bookmarkStart w:id="74" w:name="_Ref467378499"/>
      <w:bookmarkStart w:id="75" w:name="_Ref467379101"/>
      <w:r>
        <w:rPr>
          <w:rFonts w:ascii="仿宋" w:hAnsi="仿宋" w:eastAsia="仿宋"/>
          <w:b/>
          <w:color w:val="auto"/>
          <w:sz w:val="24"/>
          <w:highlight w:val="none"/>
        </w:rPr>
        <w:t xml:space="preserve">2.1 </w:t>
      </w:r>
      <w:r>
        <w:rPr>
          <w:rFonts w:hint="eastAsia" w:ascii="仿宋" w:hAnsi="仿宋" w:eastAsia="仿宋"/>
          <w:b/>
          <w:color w:val="auto"/>
          <w:sz w:val="24"/>
          <w:highlight w:val="none"/>
        </w:rPr>
        <w:t>定义</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本合同中的下列词语应按以下内容进行解释：</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2.1.1 </w:t>
      </w:r>
      <w:r>
        <w:rPr>
          <w:rFonts w:hint="eastAsia" w:ascii="仿宋" w:hAnsi="仿宋" w:eastAsia="仿宋"/>
          <w:color w:val="auto"/>
          <w:sz w:val="24"/>
          <w:highlight w:val="none"/>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2.1.2 </w:t>
      </w:r>
      <w:r>
        <w:rPr>
          <w:rFonts w:hint="eastAsia" w:ascii="仿宋" w:hAnsi="仿宋" w:eastAsia="仿宋"/>
          <w:color w:val="auto"/>
          <w:sz w:val="24"/>
          <w:highlight w:val="none"/>
        </w:rPr>
        <w:t>“合同价”系指根据合同约定，中标供应商在完全履行合同义务后，采购人应支付给中标供应商的价格。</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2.1.3 </w:t>
      </w:r>
      <w:r>
        <w:rPr>
          <w:rFonts w:hint="eastAsia" w:ascii="仿宋" w:hAnsi="仿宋" w:eastAsia="仿宋"/>
          <w:color w:val="auto"/>
          <w:sz w:val="24"/>
          <w:highlight w:val="none"/>
        </w:rPr>
        <w:t>“服务”系指中标供应商根据合同约定应向采购人履行的除货物和工程以外的其他政府采购对象，包括采购人自身需要的服务和向社会公众提供的公共服务。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olor w:val="auto"/>
          <w:sz w:val="24"/>
          <w:highlight w:val="none"/>
        </w:rPr>
      </w:pPr>
      <w:bookmarkStart w:id="76" w:name="_Ref467378840"/>
      <w:r>
        <w:rPr>
          <w:rFonts w:ascii="仿宋" w:hAnsi="仿宋" w:eastAsia="仿宋"/>
          <w:color w:val="auto"/>
          <w:sz w:val="24"/>
          <w:highlight w:val="none"/>
        </w:rPr>
        <w:t xml:space="preserve">2.1.4 </w:t>
      </w:r>
      <w:r>
        <w:rPr>
          <w:rFonts w:hint="eastAsia" w:ascii="仿宋" w:hAnsi="仿宋" w:eastAsia="仿宋"/>
          <w:color w:val="auto"/>
          <w:sz w:val="24"/>
          <w:highlight w:val="none"/>
        </w:rPr>
        <w:t>“甲方”系指与中标供应商签署合同的采购人</w:t>
      </w:r>
      <w:bookmarkEnd w:id="76"/>
      <w:r>
        <w:rPr>
          <w:rFonts w:hint="eastAsia" w:ascii="仿宋" w:hAnsi="仿宋" w:eastAsia="仿宋"/>
          <w:color w:val="auto"/>
          <w:sz w:val="24"/>
          <w:highlight w:val="none"/>
        </w:rPr>
        <w:t>。</w:t>
      </w:r>
    </w:p>
    <w:p>
      <w:pPr>
        <w:spacing w:line="560" w:lineRule="exact"/>
        <w:ind w:firstLine="480" w:firstLineChars="200"/>
        <w:rPr>
          <w:rFonts w:ascii="仿宋" w:hAnsi="仿宋" w:eastAsia="仿宋"/>
          <w:color w:val="auto"/>
          <w:sz w:val="24"/>
          <w:highlight w:val="none"/>
        </w:rPr>
      </w:pPr>
      <w:bookmarkStart w:id="77" w:name="_Ref467379400"/>
      <w:r>
        <w:rPr>
          <w:rFonts w:ascii="仿宋" w:hAnsi="仿宋" w:eastAsia="仿宋"/>
          <w:color w:val="auto"/>
          <w:sz w:val="24"/>
          <w:highlight w:val="none"/>
        </w:rPr>
        <w:t xml:space="preserve">2.1.5 </w:t>
      </w:r>
      <w:r>
        <w:rPr>
          <w:rFonts w:hint="eastAsia" w:ascii="仿宋" w:hAnsi="仿宋" w:eastAsia="仿宋"/>
          <w:color w:val="auto"/>
          <w:sz w:val="24"/>
          <w:highlight w:val="none"/>
        </w:rPr>
        <w:t>“乙方”系指根据合同约定提供服务的中标供应商</w:t>
      </w:r>
      <w:bookmarkEnd w:id="77"/>
      <w:r>
        <w:rPr>
          <w:rFonts w:hint="eastAsia" w:ascii="仿宋" w:hAnsi="仿宋" w:eastAsia="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olor w:val="auto"/>
          <w:sz w:val="24"/>
          <w:highlight w:val="none"/>
        </w:rPr>
      </w:pPr>
      <w:bookmarkStart w:id="78" w:name="_Ref467379436"/>
      <w:r>
        <w:rPr>
          <w:rFonts w:ascii="仿宋" w:hAnsi="仿宋" w:eastAsia="仿宋"/>
          <w:color w:val="auto"/>
          <w:sz w:val="24"/>
          <w:highlight w:val="none"/>
        </w:rPr>
        <w:t xml:space="preserve">2.1.6 </w:t>
      </w:r>
      <w:r>
        <w:rPr>
          <w:rFonts w:hint="eastAsia" w:ascii="仿宋" w:hAnsi="仿宋" w:eastAsia="仿宋"/>
          <w:color w:val="auto"/>
          <w:sz w:val="24"/>
          <w:highlight w:val="none"/>
        </w:rPr>
        <w:t>“现场”系指合同约定服务地点。</w:t>
      </w:r>
      <w:bookmarkEnd w:id="78"/>
    </w:p>
    <w:p>
      <w:pPr>
        <w:spacing w:line="560" w:lineRule="exact"/>
        <w:ind w:firstLine="482" w:firstLineChars="200"/>
        <w:outlineLvl w:val="0"/>
        <w:rPr>
          <w:rFonts w:ascii="仿宋" w:hAnsi="仿宋" w:eastAsia="仿宋"/>
          <w:b/>
          <w:color w:val="auto"/>
          <w:sz w:val="24"/>
          <w:highlight w:val="none"/>
        </w:rPr>
      </w:pPr>
      <w:bookmarkStart w:id="79" w:name="_Toc27635"/>
      <w:bookmarkStart w:id="80" w:name="_Toc13336"/>
      <w:bookmarkStart w:id="81" w:name="_Toc279701241"/>
      <w:bookmarkStart w:id="82" w:name="_Toc487900350"/>
      <w:bookmarkStart w:id="83" w:name="_Toc259093670"/>
      <w:bookmarkStart w:id="84" w:name="_Toc32504"/>
      <w:r>
        <w:rPr>
          <w:rFonts w:ascii="仿宋" w:hAnsi="仿宋" w:eastAsia="仿宋"/>
          <w:b/>
          <w:color w:val="auto"/>
          <w:sz w:val="24"/>
          <w:highlight w:val="none"/>
        </w:rPr>
        <w:t xml:space="preserve">2.2 </w:t>
      </w:r>
      <w:r>
        <w:rPr>
          <w:rFonts w:hint="eastAsia" w:ascii="仿宋" w:hAnsi="仿宋" w:eastAsia="仿宋"/>
          <w:b/>
          <w:color w:val="auto"/>
          <w:sz w:val="24"/>
          <w:highlight w:val="none"/>
        </w:rPr>
        <w:t>技术规范</w:t>
      </w:r>
      <w:bookmarkEnd w:id="79"/>
      <w:bookmarkEnd w:id="80"/>
      <w:bookmarkEnd w:id="81"/>
      <w:bookmarkEnd w:id="82"/>
      <w:bookmarkEnd w:id="83"/>
      <w:bookmarkEnd w:id="84"/>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服务所应遵守的技术规范应与采购文件规定的技术规范和技术规范附件</w:t>
      </w:r>
      <w:r>
        <w:rPr>
          <w:rFonts w:ascii="仿宋" w:hAnsi="仿宋" w:eastAsia="仿宋"/>
          <w:color w:val="auto"/>
          <w:sz w:val="24"/>
          <w:highlight w:val="none"/>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color w:val="auto"/>
          <w:sz w:val="24"/>
          <w:highlight w:val="none"/>
        </w:rPr>
      </w:pPr>
      <w:bookmarkStart w:id="85" w:name="_Toc31634"/>
      <w:bookmarkStart w:id="86" w:name="_Toc279701242"/>
      <w:bookmarkStart w:id="87" w:name="_Toc259093671"/>
      <w:bookmarkStart w:id="88" w:name="_Toc9829"/>
      <w:bookmarkStart w:id="89" w:name="_Toc27853"/>
      <w:bookmarkStart w:id="90" w:name="_Toc487900351"/>
      <w:r>
        <w:rPr>
          <w:rFonts w:ascii="仿宋" w:hAnsi="仿宋" w:eastAsia="仿宋"/>
          <w:b/>
          <w:color w:val="auto"/>
          <w:sz w:val="24"/>
          <w:highlight w:val="none"/>
        </w:rPr>
        <w:t xml:space="preserve">2.3 </w:t>
      </w:r>
      <w:r>
        <w:rPr>
          <w:rFonts w:hint="eastAsia" w:ascii="仿宋" w:hAnsi="仿宋" w:eastAsia="仿宋"/>
          <w:b/>
          <w:color w:val="auto"/>
          <w:sz w:val="24"/>
          <w:highlight w:val="none"/>
        </w:rPr>
        <w:t>知识产权</w:t>
      </w:r>
      <w:bookmarkEnd w:id="85"/>
      <w:bookmarkEnd w:id="86"/>
      <w:bookmarkEnd w:id="87"/>
      <w:bookmarkEnd w:id="88"/>
      <w:bookmarkEnd w:id="89"/>
      <w:bookmarkEnd w:id="90"/>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2.3.1 </w:t>
      </w:r>
      <w:r>
        <w:rPr>
          <w:rFonts w:hint="eastAsia" w:ascii="仿宋" w:hAnsi="仿宋" w:eastAsia="仿宋"/>
          <w:color w:val="auto"/>
          <w:sz w:val="24"/>
          <w:highlight w:val="none"/>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2.3.2</w:t>
      </w:r>
      <w:r>
        <w:rPr>
          <w:rFonts w:hint="eastAsia" w:ascii="仿宋" w:hAnsi="仿宋" w:eastAsia="仿宋"/>
          <w:color w:val="auto"/>
          <w:sz w:val="24"/>
          <w:highlight w:val="none"/>
        </w:rPr>
        <w:t>合同涉及技术成果的归属</w:t>
      </w:r>
      <w:r>
        <w:rPr>
          <w:rFonts w:ascii="仿宋" w:hAnsi="仿宋" w:eastAsia="仿宋"/>
          <w:color w:val="auto"/>
          <w:sz w:val="24"/>
          <w:highlight w:val="none"/>
        </w:rPr>
        <w:t>，详见</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w:t>
      </w:r>
    </w:p>
    <w:p>
      <w:pPr>
        <w:spacing w:line="560" w:lineRule="exact"/>
        <w:ind w:firstLine="482" w:firstLineChars="200"/>
        <w:outlineLvl w:val="0"/>
        <w:rPr>
          <w:rFonts w:ascii="仿宋" w:hAnsi="仿宋" w:eastAsia="仿宋"/>
          <w:b/>
          <w:color w:val="auto"/>
          <w:sz w:val="24"/>
          <w:highlight w:val="none"/>
        </w:rPr>
      </w:pPr>
      <w:bookmarkStart w:id="91" w:name="_Ref467379536"/>
      <w:bookmarkStart w:id="92" w:name="_Toc259093674"/>
      <w:bookmarkStart w:id="93" w:name="_Ref467378591"/>
      <w:bookmarkStart w:id="94" w:name="_Ref467379542"/>
      <w:bookmarkStart w:id="95" w:name="_Toc487900354"/>
      <w:bookmarkStart w:id="96" w:name="_Ref467379527"/>
      <w:bookmarkStart w:id="97" w:name="_Toc279701245"/>
      <w:bookmarkStart w:id="98" w:name="_Ref467378541"/>
      <w:bookmarkStart w:id="99" w:name="_Toc26182"/>
      <w:bookmarkStart w:id="100" w:name="_Toc30272"/>
      <w:bookmarkStart w:id="101" w:name="_Toc19074"/>
      <w:r>
        <w:rPr>
          <w:rFonts w:ascii="仿宋" w:hAnsi="仿宋" w:eastAsia="仿宋"/>
          <w:b/>
          <w:color w:val="auto"/>
          <w:sz w:val="24"/>
          <w:highlight w:val="none"/>
        </w:rPr>
        <w:t>2.</w:t>
      </w:r>
      <w:bookmarkEnd w:id="91"/>
      <w:bookmarkEnd w:id="92"/>
      <w:bookmarkEnd w:id="93"/>
      <w:bookmarkEnd w:id="94"/>
      <w:bookmarkEnd w:id="95"/>
      <w:bookmarkEnd w:id="96"/>
      <w:bookmarkEnd w:id="97"/>
      <w:bookmarkEnd w:id="98"/>
      <w:r>
        <w:rPr>
          <w:rFonts w:hint="eastAsia" w:ascii="仿宋" w:hAnsi="仿宋" w:eastAsia="仿宋"/>
          <w:b/>
          <w:color w:val="auto"/>
          <w:sz w:val="24"/>
          <w:highlight w:val="none"/>
        </w:rPr>
        <w:t>4</w:t>
      </w:r>
      <w:r>
        <w:rPr>
          <w:rFonts w:ascii="仿宋" w:hAnsi="仿宋" w:eastAsia="仿宋"/>
          <w:b/>
          <w:color w:val="auto"/>
          <w:sz w:val="24"/>
          <w:highlight w:val="none"/>
        </w:rPr>
        <w:t xml:space="preserve"> </w:t>
      </w:r>
      <w:r>
        <w:rPr>
          <w:rFonts w:hint="eastAsia" w:ascii="仿宋" w:hAnsi="仿宋" w:eastAsia="仿宋"/>
          <w:b/>
          <w:color w:val="auto"/>
          <w:sz w:val="24"/>
          <w:highlight w:val="none"/>
        </w:rPr>
        <w:t>履约检查和问题反馈</w:t>
      </w:r>
      <w:bookmarkEnd w:id="99"/>
      <w:bookmarkEnd w:id="100"/>
      <w:bookmarkEnd w:id="101"/>
    </w:p>
    <w:p>
      <w:pPr>
        <w:spacing w:line="560" w:lineRule="exact"/>
        <w:ind w:firstLine="480" w:firstLineChars="200"/>
        <w:rPr>
          <w:rFonts w:ascii="仿宋" w:hAnsi="仿宋" w:eastAsia="仿宋"/>
          <w:color w:val="auto"/>
          <w:sz w:val="24"/>
          <w:highlight w:val="none"/>
        </w:rPr>
      </w:pPr>
      <w:bookmarkStart w:id="102" w:name="_Ref467379657"/>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.1</w:t>
      </w:r>
      <w:bookmarkEnd w:id="102"/>
      <w:bookmarkStart w:id="103" w:name="_Toc186431854"/>
      <w:bookmarkStart w:id="104" w:name="_Ref467379793"/>
      <w:bookmarkStart w:id="105" w:name="_Toc487900357"/>
      <w:bookmarkStart w:id="106" w:name="_Ref467379807"/>
      <w:bookmarkStart w:id="107" w:name="_Toc259093676"/>
      <w:bookmarkStart w:id="108" w:name="_Toc279701247"/>
      <w:r>
        <w:rPr>
          <w:rFonts w:hint="eastAsia" w:ascii="仿宋" w:hAnsi="仿宋" w:eastAsia="仿宋"/>
          <w:color w:val="auto"/>
          <w:sz w:val="24"/>
          <w:highlight w:val="none"/>
        </w:rPr>
        <w:t>甲方有权在其认为必要时，对乙方是否能够按照合同约定提供服务进行履约检查，以确保乙方所提供服务能够依约满足甲方之项目需求，但不得因履约检查妨碍乙方的正常工作，乙方应予积极配合；</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合同履行期间，甲方有权将履行过程中出现的问题反馈给乙方，双方当事人应以书面形式约定需要完善和改进的内容</w:t>
      </w:r>
      <w:bookmarkEnd w:id="103"/>
      <w:bookmarkStart w:id="109" w:name="_Toc186431855"/>
      <w:r>
        <w:rPr>
          <w:rFonts w:hint="eastAsia" w:ascii="仿宋" w:hAnsi="仿宋" w:eastAsia="仿宋"/>
          <w:color w:val="auto"/>
          <w:sz w:val="24"/>
          <w:highlight w:val="none"/>
        </w:rPr>
        <w:t>。</w:t>
      </w:r>
    </w:p>
    <w:bookmarkEnd w:id="104"/>
    <w:bookmarkEnd w:id="105"/>
    <w:bookmarkEnd w:id="106"/>
    <w:bookmarkEnd w:id="107"/>
    <w:bookmarkEnd w:id="108"/>
    <w:bookmarkEnd w:id="109"/>
    <w:p>
      <w:pPr>
        <w:spacing w:line="560" w:lineRule="exact"/>
        <w:ind w:firstLine="482" w:firstLineChars="200"/>
        <w:outlineLvl w:val="0"/>
        <w:rPr>
          <w:rFonts w:ascii="仿宋" w:hAnsi="仿宋" w:eastAsia="仿宋"/>
          <w:b/>
          <w:color w:val="auto"/>
          <w:sz w:val="24"/>
          <w:highlight w:val="none"/>
        </w:rPr>
      </w:pPr>
      <w:bookmarkStart w:id="110" w:name="_Toc7502"/>
      <w:bookmarkStart w:id="111" w:name="_Toc487900364"/>
      <w:bookmarkStart w:id="112" w:name="_Ref467378121"/>
      <w:bookmarkStart w:id="113" w:name="_Toc259093683"/>
      <w:bookmarkStart w:id="114" w:name="_Toc279701254"/>
      <w:r>
        <w:rPr>
          <w:rFonts w:ascii="仿宋" w:hAnsi="仿宋" w:eastAsia="仿宋"/>
          <w:b/>
          <w:color w:val="auto"/>
          <w:sz w:val="24"/>
          <w:highlight w:val="none"/>
        </w:rPr>
        <w:t>2.</w:t>
      </w:r>
      <w:r>
        <w:rPr>
          <w:rFonts w:hint="eastAsia" w:ascii="仿宋" w:hAnsi="仿宋" w:eastAsia="仿宋"/>
          <w:b/>
          <w:color w:val="auto"/>
          <w:sz w:val="24"/>
          <w:highlight w:val="none"/>
        </w:rPr>
        <w:t>5</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合同变更</w:t>
      </w:r>
      <w:bookmarkEnd w:id="110"/>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5" w:name="_Toc259093688"/>
      <w:bookmarkStart w:id="116" w:name="_Toc487900369"/>
      <w:bookmarkStart w:id="117" w:name="_Toc279701259"/>
    </w:p>
    <w:p>
      <w:pPr>
        <w:spacing w:line="560" w:lineRule="exact"/>
        <w:ind w:firstLine="482" w:firstLineChars="200"/>
        <w:outlineLvl w:val="0"/>
        <w:rPr>
          <w:rFonts w:ascii="仿宋" w:hAnsi="仿宋" w:eastAsia="仿宋"/>
          <w:b/>
          <w:color w:val="auto"/>
          <w:sz w:val="24"/>
          <w:highlight w:val="none"/>
        </w:rPr>
      </w:pPr>
      <w:bookmarkStart w:id="118" w:name="_Toc22955"/>
      <w:bookmarkStart w:id="119" w:name="_Toc15237"/>
      <w:bookmarkStart w:id="120" w:name="_Toc10366"/>
      <w:r>
        <w:rPr>
          <w:rFonts w:ascii="仿宋" w:hAnsi="仿宋" w:eastAsia="仿宋"/>
          <w:b/>
          <w:color w:val="auto"/>
          <w:sz w:val="24"/>
          <w:highlight w:val="none"/>
        </w:rPr>
        <w:t>2.</w:t>
      </w:r>
      <w:r>
        <w:rPr>
          <w:rFonts w:hint="eastAsia" w:ascii="仿宋" w:hAnsi="仿宋" w:eastAsia="仿宋"/>
          <w:b/>
          <w:color w:val="auto"/>
          <w:sz w:val="24"/>
          <w:highlight w:val="none"/>
        </w:rPr>
        <w:t>6</w:t>
      </w:r>
      <w:r>
        <w:rPr>
          <w:rFonts w:ascii="仿宋" w:hAnsi="仿宋" w:eastAsia="仿宋"/>
          <w:b/>
          <w:color w:val="auto"/>
          <w:sz w:val="24"/>
          <w:highlight w:val="none"/>
        </w:rPr>
        <w:t xml:space="preserve"> </w:t>
      </w:r>
      <w:r>
        <w:rPr>
          <w:rFonts w:hint="eastAsia" w:ascii="仿宋" w:hAnsi="仿宋" w:eastAsia="仿宋"/>
          <w:b/>
          <w:color w:val="auto"/>
          <w:sz w:val="24"/>
          <w:highlight w:val="none"/>
        </w:rPr>
        <w:t>合同转让</w:t>
      </w:r>
      <w:bookmarkEnd w:id="115"/>
      <w:bookmarkEnd w:id="116"/>
      <w:bookmarkEnd w:id="117"/>
      <w:r>
        <w:rPr>
          <w:rFonts w:hint="eastAsia" w:ascii="仿宋" w:hAnsi="仿宋" w:eastAsia="仿宋"/>
          <w:b/>
          <w:color w:val="auto"/>
          <w:sz w:val="24"/>
          <w:highlight w:val="none"/>
        </w:rPr>
        <w:t>和分包</w:t>
      </w:r>
      <w:bookmarkEnd w:id="118"/>
      <w:bookmarkEnd w:id="119"/>
      <w:bookmarkEnd w:id="120"/>
      <w:r>
        <w:rPr>
          <w:rFonts w:hint="eastAsia" w:ascii="仿宋" w:hAnsi="仿宋" w:eastAsia="仿宋"/>
          <w:b/>
          <w:color w:val="auto"/>
          <w:sz w:val="24"/>
          <w:highlight w:val="none"/>
        </w:rPr>
        <w:t>（如有）</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6</w:t>
      </w:r>
      <w:r>
        <w:rPr>
          <w:rFonts w:ascii="仿宋" w:hAnsi="仿宋" w:eastAsia="仿宋"/>
          <w:color w:val="auto"/>
          <w:sz w:val="24"/>
          <w:highlight w:val="none"/>
        </w:rPr>
        <w:t>.2乙方采取分包方式履行合同的，甲方可直接向分包供应商支付款项。</w:t>
      </w:r>
    </w:p>
    <w:p>
      <w:pPr>
        <w:spacing w:line="560" w:lineRule="exact"/>
        <w:ind w:firstLine="482" w:firstLineChars="200"/>
        <w:outlineLvl w:val="0"/>
        <w:rPr>
          <w:rFonts w:ascii="仿宋" w:hAnsi="仿宋" w:eastAsia="仿宋"/>
          <w:b/>
          <w:color w:val="auto"/>
          <w:sz w:val="24"/>
          <w:highlight w:val="none"/>
        </w:rPr>
      </w:pPr>
      <w:bookmarkStart w:id="121" w:name="_Toc16508"/>
      <w:bookmarkStart w:id="122" w:name="_Toc13566"/>
      <w:bookmarkStart w:id="123" w:name="_Toc14066"/>
      <w:r>
        <w:rPr>
          <w:rFonts w:ascii="仿宋" w:hAnsi="仿宋" w:eastAsia="仿宋"/>
          <w:b/>
          <w:color w:val="auto"/>
          <w:sz w:val="24"/>
          <w:highlight w:val="none"/>
        </w:rPr>
        <w:t>2.</w:t>
      </w:r>
      <w:r>
        <w:rPr>
          <w:rFonts w:hint="eastAsia" w:ascii="仿宋" w:hAnsi="仿宋" w:eastAsia="仿宋"/>
          <w:b/>
          <w:color w:val="auto"/>
          <w:sz w:val="24"/>
          <w:highlight w:val="none"/>
        </w:rPr>
        <w:t>7</w:t>
      </w:r>
      <w:r>
        <w:rPr>
          <w:rFonts w:ascii="仿宋" w:hAnsi="仿宋" w:eastAsia="仿宋"/>
          <w:b/>
          <w:color w:val="auto"/>
          <w:sz w:val="24"/>
          <w:highlight w:val="none"/>
        </w:rPr>
        <w:t xml:space="preserve"> </w:t>
      </w:r>
      <w:r>
        <w:rPr>
          <w:rFonts w:hint="eastAsia" w:ascii="仿宋" w:hAnsi="仿宋" w:eastAsia="仿宋"/>
          <w:b/>
          <w:color w:val="auto"/>
          <w:sz w:val="24"/>
          <w:highlight w:val="none"/>
        </w:rPr>
        <w:t>不可抗力</w:t>
      </w:r>
      <w:bookmarkEnd w:id="121"/>
      <w:bookmarkEnd w:id="122"/>
      <w:bookmarkEnd w:id="123"/>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.2 </w:t>
      </w:r>
      <w:r>
        <w:rPr>
          <w:rFonts w:hint="eastAsia" w:ascii="仿宋" w:hAnsi="仿宋" w:eastAsia="仿宋"/>
          <w:color w:val="auto"/>
          <w:sz w:val="24"/>
          <w:highlight w:val="none"/>
        </w:rPr>
        <w:t>因不可抗力致使不能实现合同目的的，当事人可以解除合同；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 xml:space="preserve">.3 </w:t>
      </w:r>
      <w:r>
        <w:rPr>
          <w:rFonts w:hint="eastAsia" w:ascii="仿宋" w:hAnsi="仿宋" w:eastAsia="仿宋"/>
          <w:color w:val="auto"/>
          <w:sz w:val="24"/>
          <w:highlight w:val="none"/>
        </w:rPr>
        <w:t>因不可抗力致使合同有变更必要的，双方当事人应在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约定时间内以书面形式变更合同；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7</w:t>
      </w:r>
      <w:r>
        <w:rPr>
          <w:rFonts w:ascii="仿宋" w:hAnsi="仿宋" w:eastAsia="仿宋"/>
          <w:color w:val="auto"/>
          <w:sz w:val="24"/>
          <w:highlight w:val="none"/>
        </w:rPr>
        <w:t>.4受不可抗力影响的一方在不可抗力发生后，应在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约定时间内以书面形式通知对方当事人，并在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b/>
          <w:color w:val="auto"/>
          <w:sz w:val="24"/>
          <w:highlight w:val="none"/>
        </w:rPr>
      </w:pPr>
      <w:bookmarkStart w:id="124" w:name="_Toc279701255"/>
      <w:bookmarkStart w:id="125" w:name="_Toc30676"/>
      <w:bookmarkStart w:id="126" w:name="_Toc487900365"/>
      <w:bookmarkStart w:id="127" w:name="_Toc6969"/>
      <w:bookmarkStart w:id="128" w:name="_Toc259093684"/>
      <w:bookmarkStart w:id="129" w:name="_Toc689"/>
      <w:r>
        <w:rPr>
          <w:rFonts w:ascii="仿宋" w:hAnsi="仿宋" w:eastAsia="仿宋"/>
          <w:b/>
          <w:color w:val="auto"/>
          <w:sz w:val="24"/>
          <w:highlight w:val="none"/>
        </w:rPr>
        <w:t>2.</w:t>
      </w:r>
      <w:r>
        <w:rPr>
          <w:rFonts w:hint="eastAsia" w:ascii="仿宋" w:hAnsi="仿宋" w:eastAsia="仿宋"/>
          <w:b/>
          <w:color w:val="auto"/>
          <w:sz w:val="24"/>
          <w:highlight w:val="none"/>
        </w:rPr>
        <w:t>8</w:t>
      </w:r>
      <w:r>
        <w:rPr>
          <w:rFonts w:ascii="仿宋" w:hAnsi="仿宋" w:eastAsia="仿宋"/>
          <w:b/>
          <w:color w:val="auto"/>
          <w:sz w:val="24"/>
          <w:highlight w:val="none"/>
        </w:rPr>
        <w:t xml:space="preserve"> </w:t>
      </w:r>
      <w:r>
        <w:rPr>
          <w:rFonts w:hint="eastAsia" w:ascii="仿宋" w:hAnsi="仿宋" w:eastAsia="仿宋"/>
          <w:b/>
          <w:color w:val="auto"/>
          <w:sz w:val="24"/>
          <w:highlight w:val="none"/>
        </w:rPr>
        <w:t>税费</w:t>
      </w:r>
      <w:bookmarkEnd w:id="124"/>
      <w:bookmarkEnd w:id="125"/>
      <w:bookmarkEnd w:id="126"/>
      <w:bookmarkEnd w:id="127"/>
      <w:bookmarkEnd w:id="128"/>
      <w:bookmarkEnd w:id="129"/>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color w:val="auto"/>
          <w:sz w:val="24"/>
          <w:highlight w:val="none"/>
        </w:rPr>
      </w:pPr>
      <w:bookmarkStart w:id="130" w:name="_Toc279701258"/>
      <w:bookmarkStart w:id="131" w:name="_Toc16959"/>
      <w:bookmarkStart w:id="132" w:name="_Toc487900368"/>
      <w:bookmarkStart w:id="133" w:name="_Toc8298"/>
      <w:bookmarkStart w:id="134" w:name="_Toc259093687"/>
      <w:bookmarkStart w:id="135" w:name="_Toc7102"/>
      <w:r>
        <w:rPr>
          <w:rFonts w:ascii="仿宋" w:hAnsi="仿宋" w:eastAsia="仿宋"/>
          <w:b/>
          <w:color w:val="auto"/>
          <w:sz w:val="24"/>
          <w:highlight w:val="none"/>
        </w:rPr>
        <w:t>2.</w:t>
      </w:r>
      <w:r>
        <w:rPr>
          <w:rFonts w:hint="eastAsia" w:ascii="仿宋" w:hAnsi="仿宋" w:eastAsia="仿宋"/>
          <w:b/>
          <w:color w:val="auto"/>
          <w:sz w:val="24"/>
          <w:highlight w:val="none"/>
        </w:rPr>
        <w:t>9</w:t>
      </w:r>
      <w:r>
        <w:rPr>
          <w:rFonts w:ascii="仿宋" w:hAnsi="仿宋" w:eastAsia="仿宋"/>
          <w:b/>
          <w:color w:val="auto"/>
          <w:sz w:val="24"/>
          <w:highlight w:val="none"/>
        </w:rPr>
        <w:t>乙方破产</w:t>
      </w:r>
      <w:bookmarkEnd w:id="130"/>
      <w:bookmarkEnd w:id="131"/>
      <w:bookmarkEnd w:id="132"/>
      <w:bookmarkEnd w:id="133"/>
      <w:bookmarkEnd w:id="134"/>
      <w:bookmarkEnd w:id="135"/>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color w:val="auto"/>
          <w:sz w:val="24"/>
          <w:highlight w:val="none"/>
        </w:rPr>
      </w:pPr>
      <w:bookmarkStart w:id="136" w:name="_Toc15387"/>
      <w:bookmarkStart w:id="137" w:name="_Toc6134"/>
      <w:bookmarkStart w:id="138" w:name="_Toc29333"/>
      <w:r>
        <w:rPr>
          <w:rFonts w:ascii="仿宋" w:hAnsi="仿宋" w:eastAsia="仿宋"/>
          <w:b/>
          <w:color w:val="auto"/>
          <w:sz w:val="24"/>
          <w:highlight w:val="none"/>
        </w:rPr>
        <w:t>2.1</w:t>
      </w:r>
      <w:r>
        <w:rPr>
          <w:rFonts w:hint="eastAsia" w:ascii="仿宋" w:hAnsi="仿宋" w:eastAsia="仿宋"/>
          <w:b/>
          <w:color w:val="auto"/>
          <w:sz w:val="24"/>
          <w:highlight w:val="none"/>
        </w:rPr>
        <w:t>0合同中止、终止</w:t>
      </w:r>
      <w:bookmarkEnd w:id="136"/>
      <w:bookmarkEnd w:id="137"/>
      <w:bookmarkEnd w:id="138"/>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 xml:space="preserve">.1 </w:t>
      </w:r>
      <w:r>
        <w:rPr>
          <w:rFonts w:hint="eastAsia" w:ascii="仿宋" w:hAnsi="仿宋" w:eastAsia="仿宋"/>
          <w:color w:val="auto"/>
          <w:sz w:val="24"/>
          <w:highlight w:val="none"/>
        </w:rPr>
        <w:t>双方当事人不得擅自中止或者终止合同；</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0</w:t>
      </w:r>
      <w:r>
        <w:rPr>
          <w:rFonts w:ascii="仿宋" w:hAnsi="仿宋" w:eastAsia="仿宋"/>
          <w:color w:val="auto"/>
          <w:sz w:val="24"/>
          <w:highlight w:val="none"/>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color w:val="auto"/>
          <w:sz w:val="24"/>
          <w:highlight w:val="none"/>
        </w:rPr>
      </w:pPr>
      <w:bookmarkStart w:id="139" w:name="_Toc1125"/>
      <w:bookmarkStart w:id="140" w:name="_Toc14563"/>
      <w:bookmarkStart w:id="141" w:name="_Toc6596"/>
      <w:r>
        <w:rPr>
          <w:rFonts w:ascii="仿宋" w:hAnsi="仿宋" w:eastAsia="仿宋"/>
          <w:b/>
          <w:color w:val="auto"/>
          <w:sz w:val="24"/>
          <w:highlight w:val="none"/>
        </w:rPr>
        <w:t>2.1</w:t>
      </w:r>
      <w:r>
        <w:rPr>
          <w:rFonts w:hint="eastAsia" w:ascii="仿宋" w:hAnsi="仿宋" w:eastAsia="仿宋"/>
          <w:b/>
          <w:color w:val="auto"/>
          <w:sz w:val="24"/>
          <w:highlight w:val="none"/>
        </w:rPr>
        <w:t>1</w:t>
      </w:r>
      <w:r>
        <w:rPr>
          <w:rFonts w:ascii="仿宋" w:hAnsi="仿宋" w:eastAsia="仿宋"/>
          <w:b/>
          <w:color w:val="auto"/>
          <w:sz w:val="24"/>
          <w:highlight w:val="none"/>
        </w:rPr>
        <w:t>检验和验收</w:t>
      </w:r>
      <w:bookmarkEnd w:id="139"/>
      <w:bookmarkEnd w:id="140"/>
      <w:bookmarkEnd w:id="141"/>
    </w:p>
    <w:p>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.1</w:t>
      </w:r>
      <w:r>
        <w:rPr>
          <w:rFonts w:hint="eastAsia" w:ascii="仿宋" w:hAnsi="仿宋" w:eastAsia="仿宋"/>
          <w:color w:val="auto"/>
          <w:sz w:val="24"/>
          <w:highlight w:val="none"/>
        </w:rPr>
        <w:t>服务</w:t>
      </w:r>
      <w:r>
        <w:rPr>
          <w:rFonts w:ascii="仿宋" w:hAnsi="仿宋" w:eastAsia="仿宋"/>
          <w:color w:val="auto"/>
          <w:sz w:val="24"/>
          <w:highlight w:val="none"/>
        </w:rPr>
        <w:t>交付前，乙方应对</w:t>
      </w:r>
      <w:r>
        <w:rPr>
          <w:rFonts w:hint="eastAsia" w:ascii="仿宋" w:hAnsi="仿宋" w:eastAsia="仿宋"/>
          <w:color w:val="auto"/>
          <w:sz w:val="24"/>
          <w:highlight w:val="none"/>
        </w:rPr>
        <w:t>服务内容</w:t>
      </w:r>
      <w:r>
        <w:rPr>
          <w:rFonts w:ascii="仿宋" w:hAnsi="仿宋" w:eastAsia="仿宋"/>
          <w:color w:val="auto"/>
          <w:sz w:val="24"/>
          <w:highlight w:val="none"/>
        </w:rPr>
        <w:t>进行详细、全面的检验，并向甲方出具证明</w:t>
      </w:r>
      <w:r>
        <w:rPr>
          <w:rFonts w:hint="eastAsia" w:ascii="仿宋" w:hAnsi="仿宋" w:eastAsia="仿宋"/>
          <w:color w:val="auto"/>
          <w:sz w:val="24"/>
          <w:highlight w:val="none"/>
        </w:rPr>
        <w:t>服务</w:t>
      </w:r>
      <w:r>
        <w:rPr>
          <w:rFonts w:ascii="仿宋" w:hAnsi="仿宋" w:eastAsia="仿宋"/>
          <w:color w:val="auto"/>
          <w:sz w:val="24"/>
          <w:highlight w:val="none"/>
        </w:rPr>
        <w:t>符合合同约定的文件；</w:t>
      </w:r>
      <w:r>
        <w:rPr>
          <w:rFonts w:hint="eastAsia" w:ascii="仿宋" w:hAnsi="仿宋" w:eastAsia="仿宋"/>
          <w:color w:val="auto"/>
          <w:sz w:val="24"/>
          <w:highlight w:val="none"/>
        </w:rPr>
        <w:t>服务</w:t>
      </w:r>
      <w:r>
        <w:rPr>
          <w:rFonts w:ascii="仿宋" w:hAnsi="仿宋" w:eastAsia="仿宋"/>
          <w:color w:val="auto"/>
          <w:sz w:val="24"/>
          <w:highlight w:val="none"/>
        </w:rPr>
        <w:t>交付时，乙方在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1</w:t>
      </w:r>
      <w:r>
        <w:rPr>
          <w:rFonts w:ascii="仿宋" w:hAnsi="仿宋" w:eastAsia="仿宋"/>
          <w:color w:val="auto"/>
          <w:sz w:val="24"/>
          <w:highlight w:val="none"/>
        </w:rPr>
        <w:t xml:space="preserve">.3 </w:t>
      </w:r>
      <w:r>
        <w:rPr>
          <w:rFonts w:hint="eastAsia" w:ascii="仿宋" w:hAnsi="仿宋" w:eastAsia="仿宋"/>
          <w:color w:val="auto"/>
          <w:sz w:val="24"/>
          <w:highlight w:val="none"/>
        </w:rPr>
        <w:t>检验和验收标准、程序等具体内容以及前述验收书的效力详见</w:t>
      </w:r>
      <w:r>
        <w:rPr>
          <w:rFonts w:hint="eastAsia" w:ascii="仿宋" w:hAnsi="仿宋" w:eastAsia="仿宋"/>
          <w:b/>
          <w:i/>
          <w:color w:val="auto"/>
          <w:sz w:val="24"/>
          <w:highlight w:val="none"/>
          <w:u w:val="single"/>
        </w:rPr>
        <w:t>合同专用条款</w:t>
      </w:r>
      <w:r>
        <w:rPr>
          <w:rFonts w:hint="eastAsia" w:ascii="仿宋" w:hAnsi="仿宋" w:eastAsia="仿宋"/>
          <w:i/>
          <w:color w:val="auto"/>
          <w:sz w:val="24"/>
          <w:highlight w:val="none"/>
        </w:rPr>
        <w:t>。</w:t>
      </w:r>
    </w:p>
    <w:bookmarkEnd w:id="111"/>
    <w:bookmarkEnd w:id="112"/>
    <w:bookmarkEnd w:id="113"/>
    <w:bookmarkEnd w:id="114"/>
    <w:p>
      <w:pPr>
        <w:spacing w:line="560" w:lineRule="exact"/>
        <w:ind w:firstLine="482" w:firstLineChars="200"/>
        <w:outlineLvl w:val="0"/>
        <w:rPr>
          <w:rFonts w:ascii="仿宋" w:hAnsi="仿宋" w:eastAsia="仿宋"/>
          <w:b/>
          <w:color w:val="auto"/>
          <w:sz w:val="24"/>
          <w:highlight w:val="none"/>
        </w:rPr>
      </w:pPr>
      <w:bookmarkStart w:id="142" w:name="_Toc279701261"/>
      <w:bookmarkStart w:id="143" w:name="_Toc259093690"/>
      <w:bookmarkStart w:id="144" w:name="_Toc487900371"/>
      <w:bookmarkStart w:id="145" w:name="_Toc11284"/>
      <w:bookmarkStart w:id="146" w:name="_Toc19604"/>
      <w:bookmarkStart w:id="147" w:name="_Toc25182"/>
      <w:r>
        <w:rPr>
          <w:rFonts w:ascii="仿宋" w:hAnsi="仿宋" w:eastAsia="仿宋"/>
          <w:b/>
          <w:color w:val="auto"/>
          <w:sz w:val="24"/>
          <w:highlight w:val="none"/>
        </w:rPr>
        <w:t>2.1</w:t>
      </w:r>
      <w:r>
        <w:rPr>
          <w:rFonts w:hint="eastAsia" w:ascii="仿宋" w:hAnsi="仿宋" w:eastAsia="仿宋"/>
          <w:b/>
          <w:color w:val="auto"/>
          <w:sz w:val="24"/>
          <w:highlight w:val="none"/>
        </w:rPr>
        <w:t>2</w:t>
      </w:r>
      <w:r>
        <w:rPr>
          <w:rFonts w:ascii="仿宋" w:hAnsi="仿宋" w:eastAsia="仿宋"/>
          <w:b/>
          <w:color w:val="auto"/>
          <w:sz w:val="24"/>
          <w:highlight w:val="none"/>
        </w:rPr>
        <w:t xml:space="preserve"> </w:t>
      </w:r>
      <w:r>
        <w:rPr>
          <w:rFonts w:hint="eastAsia" w:ascii="仿宋" w:hAnsi="仿宋" w:eastAsia="仿宋"/>
          <w:b/>
          <w:color w:val="auto"/>
          <w:sz w:val="24"/>
          <w:highlight w:val="none"/>
        </w:rPr>
        <w:t>通知</w:t>
      </w:r>
      <w:bookmarkEnd w:id="142"/>
      <w:bookmarkEnd w:id="143"/>
      <w:bookmarkEnd w:id="144"/>
      <w:r>
        <w:rPr>
          <w:rFonts w:hint="eastAsia" w:ascii="仿宋" w:hAnsi="仿宋" w:eastAsia="仿宋"/>
          <w:b/>
          <w:color w:val="auto"/>
          <w:sz w:val="24"/>
          <w:highlight w:val="none"/>
        </w:rPr>
        <w:t>和送达</w:t>
      </w:r>
      <w:bookmarkEnd w:id="145"/>
      <w:bookmarkEnd w:id="146"/>
      <w:bookmarkEnd w:id="147"/>
    </w:p>
    <w:p>
      <w:pPr>
        <w:spacing w:line="560" w:lineRule="exact"/>
        <w:ind w:firstLine="480" w:firstLineChars="200"/>
        <w:rPr>
          <w:rFonts w:ascii="仿宋" w:hAnsi="仿宋" w:eastAsia="仿宋"/>
          <w:color w:val="auto"/>
          <w:sz w:val="24"/>
          <w:highlight w:val="none"/>
        </w:rPr>
      </w:pPr>
      <w:bookmarkStart w:id="148" w:name="_Toc3135"/>
      <w:bookmarkStart w:id="149" w:name="_Toc6698"/>
      <w:bookmarkStart w:id="150" w:name="_Toc487900372"/>
      <w:bookmarkStart w:id="151" w:name="_Toc279701262"/>
      <w:bookmarkStart w:id="152" w:name="_Toc259093691"/>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.1</w:t>
      </w:r>
      <w:r>
        <w:rPr>
          <w:rFonts w:hint="eastAsia" w:ascii="仿宋" w:hAnsi="仿宋" w:eastAsia="仿宋"/>
          <w:color w:val="auto"/>
          <w:sz w:val="24"/>
          <w:highlight w:val="none"/>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8"/>
      <w:bookmarkEnd w:id="149"/>
    </w:p>
    <w:p>
      <w:pPr>
        <w:spacing w:line="560" w:lineRule="exact"/>
        <w:ind w:firstLine="480" w:firstLineChars="200"/>
        <w:rPr>
          <w:rFonts w:ascii="仿宋" w:hAnsi="仿宋" w:eastAsia="仿宋"/>
          <w:color w:val="auto"/>
          <w:sz w:val="24"/>
          <w:highlight w:val="none"/>
        </w:rPr>
      </w:pPr>
      <w:bookmarkStart w:id="153" w:name="_Toc23128"/>
      <w:bookmarkStart w:id="154" w:name="_Toc23294"/>
      <w:r>
        <w:rPr>
          <w:rFonts w:ascii="仿宋" w:hAnsi="仿宋" w:eastAsia="仿宋"/>
          <w:color w:val="auto"/>
          <w:sz w:val="24"/>
          <w:highlight w:val="none"/>
        </w:rPr>
        <w:t>2.1</w:t>
      </w:r>
      <w:r>
        <w:rPr>
          <w:rFonts w:hint="eastAsia" w:ascii="仿宋" w:hAnsi="仿宋" w:eastAsia="仿宋"/>
          <w:color w:val="auto"/>
          <w:sz w:val="24"/>
          <w:highlight w:val="none"/>
        </w:rPr>
        <w:t>2</w:t>
      </w:r>
      <w:r>
        <w:rPr>
          <w:rFonts w:ascii="仿宋" w:hAnsi="仿宋" w:eastAsia="仿宋"/>
          <w:color w:val="auto"/>
          <w:sz w:val="24"/>
          <w:highlight w:val="none"/>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highlight w:val="none"/>
        </w:rPr>
        <w:t>的，邮件挂号寄出或者交邮之日之次日视为送达。</w:t>
      </w:r>
      <w:bookmarkEnd w:id="153"/>
      <w:bookmarkEnd w:id="154"/>
    </w:p>
    <w:p>
      <w:pPr>
        <w:spacing w:line="560" w:lineRule="exact"/>
        <w:ind w:firstLine="482" w:firstLineChars="200"/>
        <w:outlineLvl w:val="0"/>
        <w:rPr>
          <w:rFonts w:ascii="仿宋" w:hAnsi="仿宋" w:eastAsia="仿宋"/>
          <w:b/>
          <w:color w:val="auto"/>
          <w:sz w:val="24"/>
          <w:highlight w:val="none"/>
        </w:rPr>
      </w:pPr>
      <w:bookmarkStart w:id="155" w:name="_Toc4355"/>
      <w:bookmarkStart w:id="156" w:name="_Toc30599"/>
      <w:bookmarkStart w:id="157" w:name="_Toc18540"/>
      <w:r>
        <w:rPr>
          <w:rFonts w:ascii="仿宋" w:hAnsi="仿宋" w:eastAsia="仿宋"/>
          <w:b/>
          <w:color w:val="auto"/>
          <w:sz w:val="24"/>
          <w:highlight w:val="none"/>
        </w:rPr>
        <w:t>2.1</w:t>
      </w:r>
      <w:r>
        <w:rPr>
          <w:rFonts w:hint="eastAsia" w:ascii="仿宋" w:hAnsi="仿宋" w:eastAsia="仿宋"/>
          <w:b/>
          <w:color w:val="auto"/>
          <w:sz w:val="24"/>
          <w:highlight w:val="none"/>
        </w:rPr>
        <w:t>3</w:t>
      </w:r>
      <w:r>
        <w:rPr>
          <w:rFonts w:ascii="仿宋" w:hAnsi="仿宋" w:eastAsia="仿宋"/>
          <w:b/>
          <w:color w:val="auto"/>
          <w:sz w:val="24"/>
          <w:highlight w:val="none"/>
        </w:rPr>
        <w:t xml:space="preserve"> </w:t>
      </w:r>
      <w:r>
        <w:rPr>
          <w:rFonts w:hint="eastAsia" w:ascii="仿宋" w:hAnsi="仿宋" w:eastAsia="仿宋"/>
          <w:b/>
          <w:color w:val="auto"/>
          <w:sz w:val="24"/>
          <w:highlight w:val="none"/>
        </w:rPr>
        <w:t>计量单位</w:t>
      </w:r>
      <w:bookmarkEnd w:id="150"/>
      <w:bookmarkEnd w:id="151"/>
      <w:bookmarkEnd w:id="152"/>
      <w:bookmarkEnd w:id="155"/>
      <w:bookmarkEnd w:id="156"/>
      <w:bookmarkEnd w:id="157"/>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除技术规范中另有规定外</w:t>
      </w:r>
      <w:r>
        <w:rPr>
          <w:rFonts w:ascii="仿宋" w:hAnsi="仿宋" w:eastAsia="仿宋"/>
          <w:color w:val="auto"/>
          <w:sz w:val="24"/>
          <w:highlight w:val="none"/>
        </w:rPr>
        <w:t>,合同的计量单位均使用国家法定计量单位。</w:t>
      </w:r>
    </w:p>
    <w:p>
      <w:pPr>
        <w:spacing w:line="560" w:lineRule="exact"/>
        <w:ind w:firstLine="482" w:firstLineChars="200"/>
        <w:outlineLvl w:val="0"/>
        <w:rPr>
          <w:rFonts w:ascii="仿宋" w:hAnsi="仿宋" w:eastAsia="仿宋"/>
          <w:b/>
          <w:color w:val="auto"/>
          <w:sz w:val="24"/>
          <w:highlight w:val="none"/>
        </w:rPr>
      </w:pPr>
      <w:bookmarkStart w:id="158" w:name="_Toc12773"/>
      <w:bookmarkStart w:id="159" w:name="_Toc18567"/>
      <w:bookmarkStart w:id="160" w:name="_Toc487900373"/>
      <w:bookmarkStart w:id="161" w:name="_Toc10330"/>
      <w:bookmarkStart w:id="162" w:name="_Toc259093692"/>
      <w:bookmarkStart w:id="163" w:name="_Toc279701263"/>
      <w:r>
        <w:rPr>
          <w:rFonts w:ascii="仿宋" w:hAnsi="仿宋" w:eastAsia="仿宋"/>
          <w:b/>
          <w:color w:val="auto"/>
          <w:sz w:val="24"/>
          <w:highlight w:val="none"/>
        </w:rPr>
        <w:t>2.1</w:t>
      </w:r>
      <w:r>
        <w:rPr>
          <w:rFonts w:hint="eastAsia" w:ascii="仿宋" w:hAnsi="仿宋" w:eastAsia="仿宋"/>
          <w:b/>
          <w:color w:val="auto"/>
          <w:sz w:val="24"/>
          <w:highlight w:val="none"/>
        </w:rPr>
        <w:t>4合同使用的文字和适用的法律</w:t>
      </w:r>
      <w:bookmarkEnd w:id="158"/>
      <w:bookmarkEnd w:id="159"/>
      <w:bookmarkEnd w:id="160"/>
      <w:bookmarkEnd w:id="161"/>
      <w:bookmarkEnd w:id="162"/>
      <w:bookmarkEnd w:id="163"/>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.1 </w:t>
      </w:r>
      <w:r>
        <w:rPr>
          <w:rFonts w:hint="eastAsia" w:ascii="仿宋" w:hAnsi="仿宋" w:eastAsia="仿宋"/>
          <w:color w:val="auto"/>
          <w:sz w:val="24"/>
          <w:highlight w:val="none"/>
        </w:rPr>
        <w:t>合同使用汉语书就、变更和解释；</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2.1</w:t>
      </w:r>
      <w:r>
        <w:rPr>
          <w:rFonts w:hint="eastAsia" w:ascii="仿宋" w:hAnsi="仿宋" w:eastAsia="仿宋"/>
          <w:color w:val="auto"/>
          <w:sz w:val="24"/>
          <w:highlight w:val="none"/>
        </w:rPr>
        <w:t>4</w:t>
      </w:r>
      <w:r>
        <w:rPr>
          <w:rFonts w:ascii="仿宋" w:hAnsi="仿宋" w:eastAsia="仿宋"/>
          <w:color w:val="auto"/>
          <w:sz w:val="24"/>
          <w:highlight w:val="none"/>
        </w:rPr>
        <w:t xml:space="preserve">.2 </w:t>
      </w:r>
      <w:r>
        <w:rPr>
          <w:rFonts w:hint="eastAsia" w:ascii="仿宋" w:hAnsi="仿宋" w:eastAsia="仿宋"/>
          <w:color w:val="auto"/>
          <w:sz w:val="24"/>
          <w:highlight w:val="none"/>
        </w:rPr>
        <w:t>合同适用中华人民共和国法律。</w:t>
      </w:r>
    </w:p>
    <w:p>
      <w:pPr>
        <w:spacing w:line="560" w:lineRule="exact"/>
        <w:ind w:firstLine="482" w:firstLineChars="200"/>
        <w:outlineLvl w:val="0"/>
        <w:rPr>
          <w:rFonts w:ascii="仿宋" w:hAnsi="仿宋" w:eastAsia="仿宋"/>
          <w:b/>
          <w:color w:val="auto"/>
          <w:sz w:val="24"/>
          <w:highlight w:val="none"/>
        </w:rPr>
      </w:pPr>
      <w:bookmarkStart w:id="164" w:name="_Toc279701264"/>
      <w:bookmarkStart w:id="165" w:name="_Toc3148"/>
      <w:bookmarkStart w:id="166" w:name="_Toc259093693"/>
      <w:bookmarkStart w:id="167" w:name="_Toc16673"/>
      <w:bookmarkStart w:id="168" w:name="_Toc12004"/>
      <w:bookmarkStart w:id="169" w:name="_Toc487900374"/>
      <w:r>
        <w:rPr>
          <w:rFonts w:ascii="仿宋" w:hAnsi="仿宋" w:eastAsia="仿宋"/>
          <w:b/>
          <w:color w:val="auto"/>
          <w:sz w:val="24"/>
          <w:highlight w:val="none"/>
        </w:rPr>
        <w:t>2.</w:t>
      </w:r>
      <w:r>
        <w:rPr>
          <w:rFonts w:hint="eastAsia" w:ascii="仿宋" w:hAnsi="仿宋" w:eastAsia="仿宋"/>
          <w:b/>
          <w:color w:val="auto"/>
          <w:sz w:val="24"/>
          <w:highlight w:val="none"/>
        </w:rPr>
        <w:t>15履约保证金</w:t>
      </w:r>
      <w:bookmarkEnd w:id="164"/>
      <w:bookmarkEnd w:id="165"/>
      <w:bookmarkEnd w:id="166"/>
      <w:bookmarkEnd w:id="167"/>
      <w:bookmarkEnd w:id="168"/>
    </w:p>
    <w:p>
      <w:pPr>
        <w:pStyle w:val="285"/>
        <w:spacing w:before="0" w:beforeAutospacing="0" w:after="0" w:afterAutospacing="0" w:line="360" w:lineRule="auto"/>
        <w:ind w:firstLine="420"/>
        <w:rPr>
          <w:rFonts w:ascii="仿宋" w:hAnsi="仿宋" w:eastAsia="仿宋"/>
          <w:color w:val="auto"/>
          <w:highlight w:val="none"/>
        </w:rPr>
      </w:pPr>
      <w:r>
        <w:rPr>
          <w:rFonts w:ascii="仿宋" w:hAnsi="仿宋" w:eastAsia="仿宋"/>
          <w:color w:val="auto"/>
          <w:highlight w:val="none"/>
        </w:rPr>
        <w:t>2.</w:t>
      </w:r>
      <w:r>
        <w:rPr>
          <w:rFonts w:hint="eastAsia" w:ascii="仿宋" w:hAnsi="仿宋" w:eastAsia="仿宋"/>
          <w:color w:val="auto"/>
          <w:highlight w:val="none"/>
        </w:rPr>
        <w:t>15</w:t>
      </w:r>
      <w:r>
        <w:rPr>
          <w:rFonts w:ascii="仿宋" w:hAnsi="仿宋" w:eastAsia="仿宋"/>
          <w:color w:val="auto"/>
          <w:highlight w:val="none"/>
        </w:rPr>
        <w:t xml:space="preserve">.1 </w:t>
      </w:r>
      <w:r>
        <w:rPr>
          <w:rFonts w:hint="eastAsia" w:ascii="仿宋" w:hAnsi="仿宋" w:eastAsia="仿宋"/>
          <w:color w:val="auto"/>
          <w:highlight w:val="none"/>
        </w:rPr>
        <w:t>采购文件要求乙方提交履约保证金的，乙方应按</w:t>
      </w:r>
      <w:r>
        <w:rPr>
          <w:rFonts w:hint="eastAsia" w:ascii="仿宋" w:hAnsi="仿宋" w:eastAsia="仿宋"/>
          <w:b/>
          <w:i/>
          <w:color w:val="auto"/>
          <w:highlight w:val="none"/>
          <w:u w:val="single"/>
        </w:rPr>
        <w:t>合同专用条款</w:t>
      </w:r>
      <w:r>
        <w:rPr>
          <w:rFonts w:hint="eastAsia" w:ascii="仿宋" w:hAnsi="仿宋" w:eastAsia="仿宋"/>
          <w:color w:val="auto"/>
          <w:highlight w:val="none"/>
        </w:rPr>
        <w:t>约定的方式，以支票、汇票、本票或者金融机构、担保机构出具的保函等非现金形式，提交不超过合同金额2.</w:t>
      </w:r>
      <w:r>
        <w:rPr>
          <w:rFonts w:ascii="仿宋" w:hAnsi="仿宋" w:eastAsia="仿宋"/>
          <w:color w:val="auto"/>
          <w:highlight w:val="none"/>
        </w:rPr>
        <w:t>5%的履约保证金；鼓励和支持乙方以银行、保险公司出具的保函形式提供履约保证。</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.2  </w:t>
      </w:r>
      <w:r>
        <w:rPr>
          <w:rFonts w:hint="eastAsia" w:ascii="仿宋" w:hAnsi="仿宋" w:eastAsia="仿宋"/>
          <w:color w:val="auto"/>
          <w:sz w:val="24"/>
          <w:highlight w:val="none"/>
        </w:rPr>
        <w:t>履约保证金在</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约定的方式将履约保证金退还乙方，逾期退还的，乙方可要求甲方支付违约金，违约金按每迟延退还一日的应退还而未退还金额的</w:t>
      </w:r>
      <w:r>
        <w:rPr>
          <w:rFonts w:ascii="仿宋" w:hAnsi="仿宋" w:eastAsia="仿宋"/>
          <w:color w:val="auto"/>
          <w:sz w:val="24"/>
          <w:highlight w:val="none"/>
        </w:rPr>
        <w:t xml:space="preserve">%计算，最高限额为本合同履约保证金的%； </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 xml:space="preserve">.3 </w:t>
      </w:r>
      <w:r>
        <w:rPr>
          <w:rFonts w:hint="eastAsia" w:ascii="仿宋" w:hAnsi="仿宋" w:eastAsia="仿宋"/>
          <w:color w:val="auto"/>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olor w:val="auto"/>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.4</w:t>
      </w:r>
      <w:r>
        <w:rPr>
          <w:rFonts w:hint="eastAsia" w:ascii="仿宋" w:hAnsi="仿宋" w:eastAsia="仿宋"/>
          <w:color w:val="auto"/>
          <w:sz w:val="24"/>
          <w:highlight w:val="none"/>
        </w:rPr>
        <w:t>甲方</w:t>
      </w:r>
      <w:r>
        <w:rPr>
          <w:rFonts w:ascii="仿宋" w:hAnsi="仿宋" w:eastAsia="仿宋"/>
          <w:color w:val="auto"/>
          <w:sz w:val="24"/>
          <w:highlight w:val="none"/>
        </w:rPr>
        <w:t>在</w:t>
      </w:r>
      <w:r>
        <w:rPr>
          <w:rFonts w:hint="eastAsia" w:ascii="仿宋" w:hAnsi="仿宋" w:eastAsia="仿宋"/>
          <w:color w:val="auto"/>
          <w:sz w:val="24"/>
          <w:highlight w:val="none"/>
        </w:rPr>
        <w:t>乙方</w:t>
      </w:r>
      <w:r>
        <w:rPr>
          <w:rFonts w:ascii="仿宋" w:hAnsi="仿宋" w:eastAsia="仿宋"/>
          <w:color w:val="auto"/>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15</w:t>
      </w:r>
      <w:r>
        <w:rPr>
          <w:rFonts w:ascii="仿宋" w:hAnsi="仿宋" w:eastAsia="仿宋"/>
          <w:color w:val="auto"/>
          <w:sz w:val="24"/>
          <w:highlight w:val="none"/>
        </w:rPr>
        <w:t>对于因甲方原因导致变更、中止或者终止政府采购合同的，甲方应当依照合同约定对供应商受到的损失予以赔偿或者补偿。</w:t>
      </w:r>
    </w:p>
    <w:bookmarkEnd w:id="169"/>
    <w:p>
      <w:pPr>
        <w:spacing w:line="560" w:lineRule="exact"/>
        <w:ind w:firstLine="482" w:firstLineChars="200"/>
        <w:outlineLvl w:val="0"/>
        <w:rPr>
          <w:rFonts w:ascii="仿宋" w:hAnsi="仿宋" w:eastAsia="仿宋"/>
          <w:b/>
          <w:color w:val="auto"/>
          <w:sz w:val="24"/>
          <w:highlight w:val="none"/>
        </w:rPr>
      </w:pPr>
      <w:bookmarkStart w:id="170" w:name="_Toc19890"/>
      <w:bookmarkStart w:id="171" w:name="_Toc14001"/>
      <w:bookmarkStart w:id="172" w:name="_Toc6885"/>
      <w:r>
        <w:rPr>
          <w:rFonts w:ascii="仿宋" w:hAnsi="仿宋" w:eastAsia="仿宋"/>
          <w:b/>
          <w:color w:val="auto"/>
          <w:sz w:val="24"/>
          <w:highlight w:val="none"/>
        </w:rPr>
        <w:t>2.</w:t>
      </w:r>
      <w:r>
        <w:rPr>
          <w:rFonts w:hint="eastAsia" w:ascii="仿宋" w:hAnsi="仿宋" w:eastAsia="仿宋"/>
          <w:b/>
          <w:color w:val="auto"/>
          <w:sz w:val="24"/>
          <w:highlight w:val="none"/>
        </w:rPr>
        <w:t>16合同份数</w:t>
      </w:r>
      <w:bookmarkEnd w:id="170"/>
      <w:bookmarkEnd w:id="171"/>
      <w:bookmarkEnd w:id="172"/>
    </w:p>
    <w:p>
      <w:pPr>
        <w:spacing w:line="5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合同份数按</w:t>
      </w:r>
      <w:r>
        <w:rPr>
          <w:rFonts w:hint="eastAsia" w:ascii="仿宋" w:hAnsi="仿宋" w:eastAsia="仿宋"/>
          <w:b/>
          <w:i/>
          <w:color w:val="auto"/>
          <w:sz w:val="24"/>
          <w:highlight w:val="none"/>
          <w:u w:val="single"/>
        </w:rPr>
        <w:t>合同专用条款</w:t>
      </w:r>
      <w:r>
        <w:rPr>
          <w:rFonts w:hint="eastAsia" w:ascii="仿宋" w:hAnsi="仿宋" w:eastAsia="仿宋"/>
          <w:color w:val="auto"/>
          <w:sz w:val="24"/>
          <w:highlight w:val="none"/>
        </w:rPr>
        <w:t>规定，每份均具有同等法律效力。</w:t>
      </w:r>
    </w:p>
    <w:p>
      <w:pPr>
        <w:pStyle w:val="284"/>
        <w:spacing w:line="560" w:lineRule="exact"/>
        <w:jc w:val="center"/>
        <w:rPr>
          <w:rFonts w:ascii="仿宋" w:hAnsi="仿宋" w:eastAsia="仿宋"/>
          <w:b/>
          <w:color w:val="auto"/>
          <w:szCs w:val="24"/>
          <w:highlight w:val="none"/>
        </w:rPr>
      </w:pPr>
      <w:r>
        <w:rPr>
          <w:rFonts w:ascii="仿宋" w:hAnsi="仿宋" w:eastAsia="仿宋" w:cs="Times New Roman"/>
          <w:color w:val="auto"/>
          <w:kern w:val="0"/>
          <w:szCs w:val="24"/>
          <w:highlight w:val="none"/>
        </w:rPr>
        <w:br w:type="page"/>
      </w:r>
      <w:bookmarkStart w:id="173" w:name="_Toc331685784"/>
      <w:bookmarkEnd w:id="173"/>
      <w:r>
        <w:rPr>
          <w:rFonts w:hint="eastAsia" w:ascii="仿宋" w:hAnsi="仿宋" w:eastAsia="仿宋"/>
          <w:b/>
          <w:color w:val="auto"/>
          <w:szCs w:val="24"/>
          <w:highlight w:val="none"/>
        </w:rPr>
        <w:t>第三部分合同专用条款</w:t>
      </w:r>
    </w:p>
    <w:p>
      <w:pPr>
        <w:spacing w:line="560" w:lineRule="exact"/>
        <w:ind w:left="-420" w:leftChars="-200" w:right="-420" w:rightChars="-200" w:firstLine="480" w:firstLineChars="200"/>
        <w:rPr>
          <w:rFonts w:ascii="仿宋" w:hAnsi="仿宋" w:eastAsia="仿宋"/>
          <w:color w:val="auto"/>
          <w:highlight w:val="none"/>
        </w:rPr>
      </w:pPr>
      <w:r>
        <w:rPr>
          <w:rFonts w:hint="eastAsia" w:ascii="仿宋" w:hAnsi="仿宋" w:eastAsia="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条款号</w:t>
            </w:r>
          </w:p>
        </w:tc>
        <w:tc>
          <w:tcPr>
            <w:tcW w:w="8275" w:type="dxa"/>
            <w:noWrap w:val="0"/>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1.4.4</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1.5.1 </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1.5.2</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1.5.3 </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1.6.7</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1.7</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1.7.1</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1.7.2</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2.3.2</w:t>
            </w:r>
          </w:p>
        </w:tc>
        <w:tc>
          <w:tcPr>
            <w:tcW w:w="8275" w:type="dxa"/>
            <w:noWrap w:val="0"/>
            <w:vAlign w:val="center"/>
          </w:tcPr>
          <w:p>
            <w:pPr>
              <w:spacing w:line="360" w:lineRule="auto"/>
              <w:ind w:left="-420" w:leftChars="-200" w:right="-420" w:rightChars="-200" w:firstLine="480" w:firstLineChars="20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2.4.1</w:t>
            </w:r>
          </w:p>
        </w:tc>
        <w:tc>
          <w:tcPr>
            <w:tcW w:w="8275" w:type="dxa"/>
            <w:noWrap w:val="0"/>
            <w:vAlign w:val="center"/>
          </w:tcPr>
          <w:p>
            <w:pPr>
              <w:spacing w:line="360" w:lineRule="auto"/>
              <w:ind w:left="-420" w:leftChars="-200" w:right="-420" w:rightChars="-200" w:firstLine="480" w:firstLineChars="200"/>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2.4.2</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2.8 </w:t>
            </w:r>
          </w:p>
        </w:tc>
        <w:tc>
          <w:tcPr>
            <w:tcW w:w="8275" w:type="dxa"/>
            <w:noWrap w:val="0"/>
            <w:vAlign w:val="top"/>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2.12.3</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2.12.4</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2.16.1</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2.16.3</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2.20.1</w:t>
            </w:r>
          </w:p>
        </w:tc>
        <w:tc>
          <w:tcPr>
            <w:tcW w:w="8275" w:type="dxa"/>
            <w:noWrap w:val="0"/>
            <w:vAlign w:val="top"/>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2.20.2 </w:t>
            </w:r>
          </w:p>
        </w:tc>
        <w:tc>
          <w:tcPr>
            <w:tcW w:w="8275" w:type="dxa"/>
            <w:noWrap w:val="0"/>
            <w:vAlign w:val="center"/>
          </w:tcPr>
          <w:p>
            <w:pPr>
              <w:spacing w:line="360" w:lineRule="auto"/>
              <w:rPr>
                <w:rFonts w:ascii="仿宋" w:hAnsi="仿宋" w:eastAsia="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ind w:left="-420" w:leftChars="-200" w:right="-420" w:rightChars="-200" w:firstLine="480" w:firstLineChars="200"/>
              <w:outlineLvl w:val="0"/>
              <w:rPr>
                <w:rFonts w:ascii="仿宋" w:hAnsi="仿宋" w:eastAsia="仿宋"/>
                <w:color w:val="auto"/>
                <w:sz w:val="24"/>
                <w:highlight w:val="none"/>
              </w:rPr>
            </w:pPr>
            <w:r>
              <w:rPr>
                <w:rFonts w:ascii="仿宋" w:hAnsi="仿宋" w:eastAsia="仿宋"/>
                <w:color w:val="auto"/>
                <w:sz w:val="24"/>
                <w:highlight w:val="none"/>
              </w:rPr>
              <w:t>2.2</w:t>
            </w:r>
            <w:r>
              <w:rPr>
                <w:rFonts w:hint="eastAsia" w:ascii="仿宋" w:hAnsi="仿宋" w:eastAsia="仿宋"/>
                <w:color w:val="auto"/>
                <w:sz w:val="24"/>
                <w:highlight w:val="none"/>
              </w:rPr>
              <w:t>2</w:t>
            </w:r>
          </w:p>
        </w:tc>
        <w:tc>
          <w:tcPr>
            <w:tcW w:w="8275" w:type="dxa"/>
            <w:noWrap w:val="0"/>
            <w:vAlign w:val="center"/>
          </w:tcPr>
          <w:p>
            <w:pPr>
              <w:spacing w:line="360" w:lineRule="auto"/>
              <w:rPr>
                <w:rFonts w:ascii="仿宋" w:hAnsi="仿宋" w:eastAsia="仿宋"/>
                <w:color w:val="auto"/>
                <w:sz w:val="24"/>
                <w:highlight w:val="none"/>
              </w:rPr>
            </w:pPr>
          </w:p>
        </w:tc>
      </w:tr>
    </w:tbl>
    <w:p>
      <w:pPr>
        <w:rPr>
          <w:color w:val="auto"/>
          <w:highlight w:val="none"/>
        </w:rPr>
      </w:pPr>
    </w:p>
    <w:p>
      <w:pPr>
        <w:spacing w:line="360" w:lineRule="auto"/>
        <w:ind w:left="-420" w:leftChars="-200" w:right="-420" w:rightChars="-200" w:firstLine="480" w:firstLineChars="200"/>
        <w:rPr>
          <w:rFonts w:ascii="仿宋" w:hAnsi="仿宋" w:eastAsia="仿宋"/>
          <w:color w:val="auto"/>
          <w:sz w:val="24"/>
          <w:highlight w:val="none"/>
        </w:rPr>
      </w:pPr>
    </w:p>
    <w:p>
      <w:pPr>
        <w:pStyle w:val="24"/>
        <w:spacing w:line="800" w:lineRule="exact"/>
        <w:ind w:firstLine="723"/>
        <w:jc w:val="center"/>
        <w:rPr>
          <w:rFonts w:ascii="仿宋_GB2312" w:hAnsi="宋体" w:eastAsia="仿宋_GB2312"/>
          <w:b/>
          <w:color w:val="auto"/>
          <w:sz w:val="36"/>
          <w:szCs w:val="36"/>
          <w:highlight w:val="none"/>
        </w:rPr>
      </w:pPr>
      <w:r>
        <w:rPr>
          <w:rFonts w:hint="eastAsia" w:ascii="仿宋" w:hAnsi="仿宋" w:eastAsia="仿宋"/>
          <w:color w:val="auto"/>
          <w:sz w:val="24"/>
          <w:highlight w:val="none"/>
        </w:rPr>
        <w:t>（注：在正式签约时，根据上述精神应拟就更为详尽的合同书）</w:t>
      </w:r>
    </w:p>
    <w:p>
      <w:pPr>
        <w:pStyle w:val="24"/>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30</w:t>
      </w:r>
      <w:r>
        <w:rPr>
          <w:rFonts w:hint="eastAsia" w:ascii="仿宋_GB2312" w:hAnsi="宋体" w:eastAsia="仿宋_GB2312"/>
          <w:color w:val="auto"/>
          <w:sz w:val="24"/>
          <w:highlight w:val="none"/>
        </w:rPr>
        <w:t>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70</w:t>
      </w:r>
      <w:r>
        <w:rPr>
          <w:rFonts w:hint="eastAsia" w:ascii="仿宋_GB2312" w:hAnsi="宋体" w:eastAsia="仿宋_GB2312"/>
          <w:b/>
          <w:bCs/>
          <w:iCs/>
          <w:color w:val="auto"/>
          <w:sz w:val="24"/>
          <w:highlight w:val="none"/>
        </w:rPr>
        <w:t>分）</w:t>
      </w:r>
    </w:p>
    <w:tbl>
      <w:tblPr>
        <w:tblStyle w:val="43"/>
        <w:tblW w:w="8834" w:type="dxa"/>
        <w:jc w:val="center"/>
        <w:tblLayout w:type="fixed"/>
        <w:tblCellMar>
          <w:top w:w="0" w:type="dxa"/>
          <w:left w:w="108" w:type="dxa"/>
          <w:bottom w:w="0" w:type="dxa"/>
          <w:right w:w="108" w:type="dxa"/>
        </w:tblCellMar>
      </w:tblPr>
      <w:tblGrid>
        <w:gridCol w:w="681"/>
        <w:gridCol w:w="1236"/>
        <w:gridCol w:w="708"/>
        <w:gridCol w:w="6209"/>
      </w:tblGrid>
      <w:tr>
        <w:tblPrEx>
          <w:tblCellMar>
            <w:top w:w="0" w:type="dxa"/>
            <w:left w:w="108" w:type="dxa"/>
            <w:bottom w:w="0" w:type="dxa"/>
            <w:right w:w="108" w:type="dxa"/>
          </w:tblCellMar>
        </w:tblPrEx>
        <w:trPr>
          <w:trHeight w:val="684" w:hRule="atLeast"/>
          <w:jc w:val="center"/>
        </w:trPr>
        <w:tc>
          <w:tcPr>
            <w:tcW w:w="6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23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评分因素</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c>
          <w:tcPr>
            <w:tcW w:w="6209"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r>
      <w:tr>
        <w:tblPrEx>
          <w:tblCellMar>
            <w:top w:w="0" w:type="dxa"/>
            <w:left w:w="108" w:type="dxa"/>
            <w:bottom w:w="0" w:type="dxa"/>
            <w:right w:w="108" w:type="dxa"/>
          </w:tblCellMar>
        </w:tblPrEx>
        <w:trPr>
          <w:trHeight w:val="558" w:hRule="atLeast"/>
          <w:jc w:val="center"/>
        </w:trPr>
        <w:tc>
          <w:tcPr>
            <w:tcW w:w="6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35"/>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123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技术响应部分</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c>
          <w:tcPr>
            <w:tcW w:w="6209"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技术要求中打“★”参数为重要参数，重要参数未响应或负偏离的每条扣4分；技术要求中打“</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”参数为一般参数，一般参数未响应或负偏离的每条扣2分；其余技术要求未响应或负偏离的每条扣1分，扣完为止。</w:t>
            </w:r>
          </w:p>
          <w:p>
            <w:pPr>
              <w:autoSpaceDN w:val="0"/>
              <w:spacing w:line="24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针对一般条款的技术响应，若技术参数要求提供对应证明材料，应按要求提供，否则对应技术参数条款将视为不满足。</w:t>
            </w:r>
          </w:p>
        </w:tc>
      </w:tr>
      <w:tr>
        <w:tblPrEx>
          <w:tblCellMar>
            <w:top w:w="0" w:type="dxa"/>
            <w:left w:w="108" w:type="dxa"/>
            <w:bottom w:w="0" w:type="dxa"/>
            <w:right w:w="108" w:type="dxa"/>
          </w:tblCellMar>
        </w:tblPrEx>
        <w:trPr>
          <w:trHeight w:val="558" w:hRule="atLeast"/>
          <w:jc w:val="center"/>
        </w:trPr>
        <w:tc>
          <w:tcPr>
            <w:tcW w:w="6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35"/>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123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系统演示部分</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c>
          <w:tcPr>
            <w:tcW w:w="6209" w:type="dxa"/>
            <w:tcBorders>
              <w:top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投标人须派代表进行现场产品演示，投标人须自备系统演示环境，演示时长不超过</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分钟。演示界面应可点击、可操作、系统中数据有关联性，要求需要演示的项若只能提供图片、PPT、WORD</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静态界面、DEMO</w:t>
            </w:r>
            <w:r>
              <w:rPr>
                <w:rFonts w:hint="eastAsia" w:ascii="仿宋" w:hAnsi="仿宋" w:eastAsia="仿宋" w:cs="仿宋"/>
                <w:color w:val="auto"/>
                <w:sz w:val="24"/>
                <w:szCs w:val="24"/>
                <w:highlight w:val="none"/>
              </w:rPr>
              <w:t>等非实际软件操作界面的演示或不能提供演示，按照不满足处理，对应项不得分。详细演示功能如下：</w:t>
            </w:r>
          </w:p>
          <w:p>
            <w:pPr>
              <w:spacing w:line="24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PACS系统</w:t>
            </w:r>
            <w:r>
              <w:rPr>
                <w:rFonts w:hint="eastAsia" w:ascii="仿宋" w:hAnsi="仿宋" w:eastAsia="仿宋" w:cs="仿宋"/>
                <w:b/>
                <w:bCs/>
                <w:color w:val="auto"/>
                <w:sz w:val="24"/>
                <w:szCs w:val="24"/>
                <w:highlight w:val="none"/>
              </w:rPr>
              <w:t>(满分</w:t>
            </w: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rPr>
              <w:t>分，每实现</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项得</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分)</w:t>
            </w:r>
          </w:p>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①整体系统采用B/S构架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基于HTML5技术，支持Android、iOS等操作系统的全部移动端设备；</w:t>
            </w:r>
          </w:p>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②支持多段曲线调窗，支持Gamma调窗；</w:t>
            </w:r>
          </w:p>
          <w:p>
            <w:pPr>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③支持MIP最大密度投影</w:t>
            </w:r>
            <w:r>
              <w:rPr>
                <w:rFonts w:hint="eastAsia" w:ascii="仿宋" w:hAnsi="仿宋" w:eastAsia="仿宋" w:cs="仿宋"/>
                <w:color w:val="auto"/>
                <w:sz w:val="24"/>
                <w:szCs w:val="24"/>
                <w:highlight w:val="none"/>
                <w:lang w:val="en-US" w:eastAsia="zh-CN"/>
              </w:rPr>
              <w:t>；</w:t>
            </w:r>
          </w:p>
          <w:p>
            <w:pPr>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④支持VR体积重建</w:t>
            </w:r>
            <w:r>
              <w:rPr>
                <w:rFonts w:hint="eastAsia" w:ascii="仿宋" w:hAnsi="仿宋" w:eastAsia="仿宋" w:cs="仿宋"/>
                <w:color w:val="auto"/>
                <w:sz w:val="24"/>
                <w:szCs w:val="24"/>
                <w:highlight w:val="none"/>
                <w:lang w:val="en-US" w:eastAsia="zh-CN"/>
              </w:rPr>
              <w:t>；</w:t>
            </w:r>
          </w:p>
          <w:p>
            <w:pPr>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⑤</w:t>
            </w:r>
            <w:r>
              <w:rPr>
                <w:rFonts w:hint="eastAsia" w:ascii="仿宋" w:hAnsi="仿宋" w:eastAsia="仿宋" w:cs="仿宋"/>
                <w:color w:val="auto"/>
                <w:sz w:val="24"/>
                <w:szCs w:val="24"/>
                <w:highlight w:val="none"/>
                <w:lang w:val="en-US" w:eastAsia="zh-CN"/>
              </w:rPr>
              <w:t>支持MPR中神经管标注，并且在VR中同步显示。</w:t>
            </w:r>
          </w:p>
          <w:p>
            <w:pPr>
              <w:pStyle w:val="2"/>
              <w:ind w:firstLine="0" w:firstLineChars="0"/>
              <w:rPr>
                <w:rFonts w:hint="eastAsia" w:ascii="仿宋" w:hAnsi="仿宋" w:eastAsia="仿宋" w:cs="仿宋"/>
                <w:color w:val="auto"/>
                <w:spacing w:val="0"/>
                <w:kern w:val="2"/>
                <w:highlight w:val="none"/>
                <w:lang w:val="en-US" w:eastAsia="zh-CN"/>
              </w:rPr>
            </w:pPr>
            <w:r>
              <w:rPr>
                <w:rFonts w:hint="eastAsia" w:ascii="仿宋" w:hAnsi="仿宋" w:eastAsia="仿宋" w:cs="仿宋"/>
                <w:i w:val="0"/>
                <w:iCs w:val="0"/>
                <w:caps w:val="0"/>
                <w:color w:val="auto"/>
                <w:spacing w:val="0"/>
                <w:kern w:val="2"/>
                <w:sz w:val="24"/>
                <w:szCs w:val="24"/>
                <w:highlight w:val="none"/>
                <w:shd w:val="clear" w:fill="auto"/>
              </w:rPr>
              <w:t>⑥</w:t>
            </w:r>
            <w:r>
              <w:rPr>
                <w:rFonts w:hint="eastAsia" w:ascii="仿宋" w:hAnsi="仿宋" w:eastAsia="仿宋" w:cs="仿宋"/>
                <w:color w:val="auto"/>
                <w:sz w:val="24"/>
                <w:szCs w:val="24"/>
                <w:highlight w:val="none"/>
              </w:rPr>
              <w:t>支持CPR曲面重建</w:t>
            </w:r>
            <w:r>
              <w:rPr>
                <w:rFonts w:hint="eastAsia" w:ascii="仿宋" w:hAnsi="仿宋" w:eastAsia="仿宋" w:cs="仿宋"/>
                <w:color w:val="auto"/>
                <w:sz w:val="24"/>
                <w:szCs w:val="24"/>
                <w:highlight w:val="none"/>
                <w:lang w:eastAsia="zh-CN"/>
              </w:rPr>
              <w:t>。</w:t>
            </w:r>
          </w:p>
          <w:p>
            <w:pPr>
              <w:spacing w:line="24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val="en-US" w:eastAsia="zh-CN"/>
              </w:rPr>
              <w:t>数字化种植系统</w:t>
            </w:r>
            <w:r>
              <w:rPr>
                <w:rFonts w:hint="eastAsia" w:ascii="仿宋" w:hAnsi="仿宋" w:eastAsia="仿宋" w:cs="仿宋"/>
                <w:b/>
                <w:bCs/>
                <w:color w:val="auto"/>
                <w:sz w:val="24"/>
                <w:szCs w:val="24"/>
                <w:highlight w:val="none"/>
              </w:rPr>
              <w:t>(满分</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分，每实现1项得</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分)</w:t>
            </w:r>
          </w:p>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①整体系统采用B/S构架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基于HTML5技术，支持Android、iOS等操作系统的全部移动端设备；</w:t>
            </w:r>
          </w:p>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lang w:val="en-US" w:eastAsia="zh-CN"/>
              </w:rPr>
              <w:t>支持基于AI的牙弓曲线绘制。支持利用大数据AI技术自动检查和绘制下颌神经导管。支持利用大数据AI技术将CBCT数据和口内模型数据的STL格式文件进行融合；</w:t>
            </w:r>
          </w:p>
          <w:p>
            <w:pPr>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lang w:val="en-US" w:eastAsia="zh-CN"/>
              </w:rPr>
              <w:t>支持可以嵌入国内外主要品牌植体数据库，配在相应的植体品牌下设置主要型号的产品；</w:t>
            </w:r>
          </w:p>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分，未提供演示</w:t>
            </w:r>
            <w:r>
              <w:rPr>
                <w:rFonts w:hint="eastAsia" w:ascii="仿宋" w:hAnsi="仿宋" w:eastAsia="仿宋" w:cs="仿宋"/>
                <w:color w:val="auto"/>
                <w:sz w:val="24"/>
                <w:szCs w:val="24"/>
                <w:highlight w:val="none"/>
                <w:lang w:val="en-US" w:eastAsia="zh-CN"/>
              </w:rPr>
              <w:t>和演示不完整对应项</w:t>
            </w:r>
            <w:r>
              <w:rPr>
                <w:rFonts w:hint="eastAsia" w:ascii="仿宋" w:hAnsi="仿宋" w:eastAsia="仿宋" w:cs="仿宋"/>
                <w:color w:val="auto"/>
                <w:sz w:val="24"/>
                <w:szCs w:val="24"/>
                <w:highlight w:val="none"/>
              </w:rPr>
              <w:t>不得分。</w:t>
            </w:r>
          </w:p>
        </w:tc>
      </w:tr>
      <w:tr>
        <w:tblPrEx>
          <w:tblCellMar>
            <w:top w:w="0" w:type="dxa"/>
            <w:left w:w="108" w:type="dxa"/>
            <w:bottom w:w="0" w:type="dxa"/>
            <w:right w:w="108" w:type="dxa"/>
          </w:tblCellMar>
        </w:tblPrEx>
        <w:trPr>
          <w:trHeight w:val="350" w:hRule="atLeast"/>
          <w:jc w:val="center"/>
        </w:trPr>
        <w:tc>
          <w:tcPr>
            <w:tcW w:w="6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35"/>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123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商务响应部分</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209" w:type="dxa"/>
            <w:tcBorders>
              <w:top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投标人（或所投产品制造商）参与本项目需具备云PACS系统软件</w:t>
            </w:r>
            <w:r>
              <w:rPr>
                <w:rFonts w:hint="eastAsia" w:ascii="仿宋" w:hAnsi="仿宋" w:eastAsia="仿宋" w:cs="仿宋"/>
                <w:color w:val="auto"/>
                <w:kern w:val="0"/>
                <w:sz w:val="24"/>
                <w:szCs w:val="24"/>
                <w:highlight w:val="none"/>
                <w:lang w:val="en-US" w:eastAsia="zh-CN"/>
              </w:rPr>
              <w:t>、医学影像三维后处理系统、云RIS系统</w:t>
            </w:r>
            <w:r>
              <w:rPr>
                <w:rFonts w:hint="eastAsia" w:ascii="仿宋" w:hAnsi="仿宋" w:eastAsia="仿宋" w:cs="仿宋"/>
                <w:color w:val="auto"/>
                <w:kern w:val="0"/>
                <w:sz w:val="24"/>
                <w:szCs w:val="24"/>
                <w:highlight w:val="none"/>
              </w:rPr>
              <w:t>的</w:t>
            </w:r>
            <w:r>
              <w:rPr>
                <w:rFonts w:hint="eastAsia" w:ascii="仿宋" w:hAnsi="仿宋" w:eastAsia="仿宋" w:cs="仿宋"/>
                <w:color w:val="auto"/>
                <w:kern w:val="0"/>
                <w:sz w:val="24"/>
                <w:szCs w:val="24"/>
                <w:highlight w:val="none"/>
                <w:lang w:val="en-US" w:eastAsia="zh-CN"/>
              </w:rPr>
              <w:t>相关</w:t>
            </w:r>
            <w:r>
              <w:rPr>
                <w:rFonts w:hint="eastAsia" w:ascii="仿宋" w:hAnsi="仿宋" w:eastAsia="仿宋" w:cs="仿宋"/>
                <w:color w:val="auto"/>
                <w:kern w:val="0"/>
                <w:sz w:val="24"/>
                <w:szCs w:val="24"/>
                <w:highlight w:val="none"/>
              </w:rPr>
              <w:t>软件著作权登记证书，提供证明材料1个得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最高得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采用国产云原生分布式数据库，</w:t>
            </w:r>
            <w:r>
              <w:rPr>
                <w:rFonts w:hint="eastAsia" w:ascii="仿宋" w:hAnsi="仿宋" w:eastAsia="仿宋" w:cs="仿宋"/>
                <w:color w:val="auto"/>
                <w:kern w:val="0"/>
                <w:sz w:val="24"/>
                <w:szCs w:val="24"/>
                <w:highlight w:val="none"/>
              </w:rPr>
              <w:t>提供证明材料</w:t>
            </w:r>
            <w:r>
              <w:rPr>
                <w:rFonts w:hint="eastAsia" w:ascii="仿宋" w:hAnsi="仿宋" w:eastAsia="仿宋" w:cs="仿宋"/>
                <w:color w:val="auto"/>
                <w:kern w:val="0"/>
                <w:sz w:val="24"/>
                <w:szCs w:val="24"/>
                <w:highlight w:val="none"/>
                <w:lang w:val="en-US" w:eastAsia="zh-CN"/>
              </w:rPr>
              <w:t>得1分，具备国产数据库管理认证证书，</w:t>
            </w:r>
            <w:r>
              <w:rPr>
                <w:rFonts w:hint="eastAsia" w:ascii="仿宋" w:hAnsi="仿宋" w:eastAsia="仿宋" w:cs="仿宋"/>
                <w:color w:val="auto"/>
                <w:kern w:val="0"/>
                <w:sz w:val="24"/>
                <w:szCs w:val="24"/>
                <w:highlight w:val="none"/>
              </w:rPr>
              <w:t>提供证明材料</w:t>
            </w:r>
            <w:r>
              <w:rPr>
                <w:rFonts w:hint="eastAsia" w:ascii="仿宋" w:hAnsi="仿宋" w:eastAsia="仿宋" w:cs="仿宋"/>
                <w:color w:val="auto"/>
                <w:kern w:val="0"/>
                <w:sz w:val="24"/>
                <w:szCs w:val="24"/>
                <w:highlight w:val="none"/>
                <w:lang w:val="en-US" w:eastAsia="zh-CN"/>
              </w:rPr>
              <w:t>得1分。</w:t>
            </w:r>
          </w:p>
          <w:p>
            <w:pPr>
              <w:spacing w:line="240" w:lineRule="auto"/>
              <w:rPr>
                <w:rFonts w:hint="eastAsia" w:ascii="仿宋" w:hAnsi="仿宋" w:eastAsia="仿宋" w:cs="仿宋"/>
                <w:color w:val="auto"/>
                <w:kern w:val="0"/>
                <w:sz w:val="24"/>
                <w:szCs w:val="24"/>
                <w:highlight w:val="none"/>
                <w:lang w:eastAsia="zh-CN"/>
              </w:rPr>
            </w:pPr>
            <w:r>
              <w:rPr>
                <w:rFonts w:hint="eastAsia" w:ascii="仿宋" w:hAnsi="仿宋" w:eastAsia="仿宋" w:cs="仿宋"/>
                <w:b/>
                <w:bCs/>
                <w:color w:val="auto"/>
                <w:kern w:val="0"/>
                <w:sz w:val="24"/>
                <w:szCs w:val="24"/>
                <w:highlight w:val="none"/>
              </w:rPr>
              <w:t>注：投标时需提供相关证书复印件并加盖公章</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未提供证书证明或者提供资料不符合上述标准，不得分</w:t>
            </w:r>
            <w:r>
              <w:rPr>
                <w:rFonts w:hint="eastAsia" w:ascii="仿宋" w:hAnsi="仿宋" w:eastAsia="仿宋" w:cs="仿宋"/>
                <w:b/>
                <w:bCs/>
                <w:color w:val="auto"/>
                <w:sz w:val="24"/>
                <w:szCs w:val="24"/>
                <w:highlight w:val="none"/>
                <w:lang w:eastAsia="zh-CN"/>
              </w:rPr>
              <w:t>。</w:t>
            </w:r>
          </w:p>
        </w:tc>
      </w:tr>
      <w:tr>
        <w:tblPrEx>
          <w:tblCellMar>
            <w:top w:w="0" w:type="dxa"/>
            <w:left w:w="108" w:type="dxa"/>
            <w:bottom w:w="0" w:type="dxa"/>
            <w:right w:w="108" w:type="dxa"/>
          </w:tblCellMar>
        </w:tblPrEx>
        <w:trPr>
          <w:trHeight w:val="350" w:hRule="atLeast"/>
          <w:jc w:val="center"/>
        </w:trPr>
        <w:tc>
          <w:tcPr>
            <w:tcW w:w="6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3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23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技术方案部分</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c>
          <w:tcPr>
            <w:tcW w:w="6209" w:type="dxa"/>
            <w:tcBorders>
              <w:top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技术方案：根据投标人针对本项目提供的技术服务方案，包含：1.总体设计方案；2.需求理解；3.整体架构；4.系统部署；5.功能及性能需求分析；</w:t>
            </w:r>
          </w:p>
          <w:p>
            <w:pPr>
              <w:pStyle w:val="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评标委员会</w:t>
            </w:r>
            <w:r>
              <w:rPr>
                <w:rFonts w:hint="eastAsia" w:ascii="仿宋" w:hAnsi="仿宋" w:eastAsia="仿宋" w:cs="仿宋"/>
                <w:color w:val="auto"/>
                <w:sz w:val="24"/>
                <w:szCs w:val="24"/>
                <w:highlight w:val="none"/>
              </w:rPr>
              <w:t>对技术服务方案进行评分：</w:t>
            </w:r>
            <w:r>
              <w:rPr>
                <w:rFonts w:hint="eastAsia" w:ascii="仿宋" w:hAnsi="仿宋" w:eastAsia="仿宋" w:cs="仿宋"/>
                <w:color w:val="auto"/>
                <w:spacing w:val="-2"/>
                <w:kern w:val="0"/>
                <w:sz w:val="24"/>
                <w:highlight w:val="none"/>
                <w:lang w:eastAsia="zh-Hans"/>
              </w:rPr>
              <w:t>完全满足或</w:t>
            </w:r>
            <w:r>
              <w:rPr>
                <w:rFonts w:hint="eastAsia" w:ascii="仿宋" w:hAnsi="仿宋" w:eastAsia="仿宋" w:cs="仿宋"/>
                <w:color w:val="auto"/>
                <w:spacing w:val="-2"/>
                <w:kern w:val="0"/>
                <w:sz w:val="24"/>
                <w:highlight w:val="none"/>
              </w:rPr>
              <w:t>优于项目需求要求的得</w:t>
            </w:r>
            <w:r>
              <w:rPr>
                <w:rFonts w:hint="eastAsia" w:ascii="仿宋" w:hAnsi="仿宋" w:eastAsia="仿宋" w:cs="仿宋"/>
                <w:color w:val="auto"/>
                <w:spacing w:val="-2"/>
                <w:kern w:val="0"/>
                <w:sz w:val="24"/>
                <w:highlight w:val="none"/>
                <w:lang w:val="en-US" w:eastAsia="zh-CN"/>
              </w:rPr>
              <w:t>15</w:t>
            </w:r>
            <w:r>
              <w:rPr>
                <w:rFonts w:hint="eastAsia" w:ascii="仿宋" w:hAnsi="仿宋" w:eastAsia="仿宋" w:cs="仿宋"/>
                <w:color w:val="auto"/>
                <w:spacing w:val="-2"/>
                <w:kern w:val="0"/>
                <w:sz w:val="24"/>
                <w:highlight w:val="none"/>
              </w:rPr>
              <w:t>.0-</w:t>
            </w:r>
            <w:r>
              <w:rPr>
                <w:rFonts w:hint="eastAsia" w:ascii="仿宋" w:hAnsi="仿宋" w:eastAsia="仿宋" w:cs="仿宋"/>
                <w:color w:val="auto"/>
                <w:spacing w:val="-2"/>
                <w:kern w:val="0"/>
                <w:sz w:val="24"/>
                <w:highlight w:val="none"/>
                <w:lang w:val="en-US" w:eastAsia="zh-CN"/>
              </w:rPr>
              <w:t>10</w:t>
            </w:r>
            <w:r>
              <w:rPr>
                <w:rFonts w:hint="eastAsia" w:ascii="仿宋" w:hAnsi="仿宋" w:eastAsia="仿宋" w:cs="仿宋"/>
                <w:color w:val="auto"/>
                <w:spacing w:val="-2"/>
                <w:kern w:val="0"/>
                <w:sz w:val="24"/>
                <w:highlight w:val="none"/>
              </w:rPr>
              <w:t>.1分，</w:t>
            </w:r>
            <w:r>
              <w:rPr>
                <w:rFonts w:hint="eastAsia" w:ascii="仿宋" w:hAnsi="仿宋" w:eastAsia="仿宋" w:cs="仿宋"/>
                <w:color w:val="auto"/>
                <w:spacing w:val="-2"/>
                <w:kern w:val="0"/>
                <w:sz w:val="24"/>
                <w:highlight w:val="none"/>
                <w:lang w:eastAsia="zh-Hans"/>
              </w:rPr>
              <w:t>基本</w:t>
            </w:r>
            <w:r>
              <w:rPr>
                <w:rFonts w:hint="eastAsia" w:ascii="仿宋" w:hAnsi="仿宋" w:eastAsia="仿宋" w:cs="仿宋"/>
                <w:color w:val="auto"/>
                <w:spacing w:val="-2"/>
                <w:kern w:val="0"/>
                <w:sz w:val="24"/>
                <w:highlight w:val="none"/>
              </w:rPr>
              <w:t>符合项目需求的得</w:t>
            </w:r>
            <w:r>
              <w:rPr>
                <w:rFonts w:hint="eastAsia" w:ascii="仿宋" w:hAnsi="仿宋" w:eastAsia="仿宋" w:cs="仿宋"/>
                <w:color w:val="auto"/>
                <w:spacing w:val="-2"/>
                <w:kern w:val="0"/>
                <w:sz w:val="24"/>
                <w:highlight w:val="none"/>
                <w:lang w:val="en-US" w:eastAsia="zh-CN"/>
              </w:rPr>
              <w:t>10</w:t>
            </w:r>
            <w:r>
              <w:rPr>
                <w:rFonts w:hint="eastAsia" w:ascii="仿宋" w:hAnsi="仿宋" w:eastAsia="仿宋" w:cs="仿宋"/>
                <w:color w:val="auto"/>
                <w:spacing w:val="-2"/>
                <w:kern w:val="0"/>
                <w:sz w:val="24"/>
                <w:highlight w:val="none"/>
              </w:rPr>
              <w:t>.0-</w:t>
            </w:r>
            <w:r>
              <w:rPr>
                <w:rFonts w:hint="eastAsia" w:ascii="仿宋" w:hAnsi="仿宋" w:eastAsia="仿宋" w:cs="仿宋"/>
                <w:color w:val="auto"/>
                <w:spacing w:val="-2"/>
                <w:kern w:val="0"/>
                <w:sz w:val="24"/>
                <w:highlight w:val="none"/>
                <w:lang w:val="en-US" w:eastAsia="zh-CN"/>
              </w:rPr>
              <w:t>5</w:t>
            </w:r>
            <w:r>
              <w:rPr>
                <w:rFonts w:hint="eastAsia" w:ascii="仿宋" w:hAnsi="仿宋" w:eastAsia="仿宋" w:cs="仿宋"/>
                <w:color w:val="auto"/>
                <w:spacing w:val="-2"/>
                <w:kern w:val="0"/>
                <w:sz w:val="24"/>
                <w:highlight w:val="none"/>
              </w:rPr>
              <w:t>.1分，部分符合项目需求的得</w:t>
            </w:r>
            <w:r>
              <w:rPr>
                <w:rFonts w:hint="eastAsia" w:ascii="仿宋" w:hAnsi="仿宋" w:eastAsia="仿宋" w:cs="仿宋"/>
                <w:color w:val="auto"/>
                <w:spacing w:val="-2"/>
                <w:kern w:val="0"/>
                <w:sz w:val="24"/>
                <w:highlight w:val="none"/>
                <w:lang w:val="en-US" w:eastAsia="zh-CN"/>
              </w:rPr>
              <w:t>5</w:t>
            </w:r>
            <w:r>
              <w:rPr>
                <w:rFonts w:hint="eastAsia" w:ascii="仿宋" w:hAnsi="仿宋" w:eastAsia="仿宋" w:cs="仿宋"/>
                <w:color w:val="auto"/>
                <w:spacing w:val="-2"/>
                <w:kern w:val="0"/>
                <w:sz w:val="24"/>
                <w:highlight w:val="none"/>
              </w:rPr>
              <w:t>-0.1分，不符合或不提供的不得分。</w:t>
            </w:r>
          </w:p>
        </w:tc>
      </w:tr>
      <w:tr>
        <w:tblPrEx>
          <w:tblCellMar>
            <w:top w:w="0" w:type="dxa"/>
            <w:left w:w="108" w:type="dxa"/>
            <w:bottom w:w="0" w:type="dxa"/>
            <w:right w:w="108" w:type="dxa"/>
          </w:tblCellMar>
        </w:tblPrEx>
        <w:trPr>
          <w:trHeight w:val="350" w:hRule="atLeast"/>
          <w:jc w:val="center"/>
        </w:trPr>
        <w:tc>
          <w:tcPr>
            <w:tcW w:w="6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3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23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实施方案部分</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6209" w:type="dxa"/>
            <w:tcBorders>
              <w:top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实施方案：投标人针对本项目提供的整体实施方案，包括但不限于：1.阶段划分；2.各阶段目标；3.各阶段须完成的建设内容；4.各阶段进度计划；5.保障措施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评标委员会</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val="en-US" w:eastAsia="zh-CN"/>
              </w:rPr>
              <w:t>整体实施</w:t>
            </w:r>
            <w:r>
              <w:rPr>
                <w:rFonts w:hint="eastAsia" w:ascii="仿宋" w:hAnsi="仿宋" w:eastAsia="仿宋" w:cs="仿宋"/>
                <w:color w:val="auto"/>
                <w:sz w:val="24"/>
                <w:szCs w:val="24"/>
                <w:highlight w:val="none"/>
              </w:rPr>
              <w:t>方案进行评分：</w:t>
            </w:r>
            <w:r>
              <w:rPr>
                <w:rFonts w:hint="eastAsia" w:ascii="仿宋" w:hAnsi="仿宋" w:eastAsia="仿宋" w:cs="仿宋"/>
                <w:color w:val="auto"/>
                <w:spacing w:val="-2"/>
                <w:kern w:val="0"/>
                <w:sz w:val="24"/>
                <w:highlight w:val="none"/>
                <w:lang w:eastAsia="zh-Hans"/>
              </w:rPr>
              <w:t>完全满足或</w:t>
            </w:r>
            <w:r>
              <w:rPr>
                <w:rFonts w:hint="eastAsia" w:ascii="仿宋" w:hAnsi="仿宋" w:eastAsia="仿宋" w:cs="仿宋"/>
                <w:color w:val="auto"/>
                <w:spacing w:val="-2"/>
                <w:kern w:val="0"/>
                <w:sz w:val="24"/>
                <w:highlight w:val="none"/>
              </w:rPr>
              <w:t>优于项目需求要求的得</w:t>
            </w:r>
            <w:r>
              <w:rPr>
                <w:rFonts w:hint="eastAsia" w:ascii="仿宋" w:hAnsi="仿宋" w:eastAsia="仿宋" w:cs="仿宋"/>
                <w:color w:val="auto"/>
                <w:spacing w:val="-2"/>
                <w:kern w:val="0"/>
                <w:sz w:val="24"/>
                <w:highlight w:val="none"/>
                <w:lang w:val="en-US" w:eastAsia="zh-CN"/>
              </w:rPr>
              <w:t>5</w:t>
            </w:r>
            <w:r>
              <w:rPr>
                <w:rFonts w:hint="eastAsia" w:ascii="仿宋" w:hAnsi="仿宋" w:eastAsia="仿宋" w:cs="仿宋"/>
                <w:color w:val="auto"/>
                <w:spacing w:val="-2"/>
                <w:kern w:val="0"/>
                <w:sz w:val="24"/>
                <w:highlight w:val="none"/>
              </w:rPr>
              <w:t>.0-</w:t>
            </w:r>
            <w:r>
              <w:rPr>
                <w:rFonts w:hint="eastAsia" w:ascii="仿宋" w:hAnsi="仿宋" w:eastAsia="仿宋" w:cs="仿宋"/>
                <w:color w:val="auto"/>
                <w:spacing w:val="-2"/>
                <w:kern w:val="0"/>
                <w:sz w:val="24"/>
                <w:highlight w:val="none"/>
                <w:lang w:val="en-US" w:eastAsia="zh-CN"/>
              </w:rPr>
              <w:t>3</w:t>
            </w:r>
            <w:r>
              <w:rPr>
                <w:rFonts w:hint="eastAsia" w:ascii="仿宋" w:hAnsi="仿宋" w:eastAsia="仿宋" w:cs="仿宋"/>
                <w:color w:val="auto"/>
                <w:spacing w:val="-2"/>
                <w:kern w:val="0"/>
                <w:sz w:val="24"/>
                <w:highlight w:val="none"/>
              </w:rPr>
              <w:t>.1分，</w:t>
            </w:r>
            <w:r>
              <w:rPr>
                <w:rFonts w:hint="eastAsia" w:ascii="仿宋" w:hAnsi="仿宋" w:eastAsia="仿宋" w:cs="仿宋"/>
                <w:color w:val="auto"/>
                <w:spacing w:val="-2"/>
                <w:kern w:val="0"/>
                <w:sz w:val="24"/>
                <w:highlight w:val="none"/>
                <w:lang w:eastAsia="zh-Hans"/>
              </w:rPr>
              <w:t>基本</w:t>
            </w:r>
            <w:r>
              <w:rPr>
                <w:rFonts w:hint="eastAsia" w:ascii="仿宋" w:hAnsi="仿宋" w:eastAsia="仿宋" w:cs="仿宋"/>
                <w:color w:val="auto"/>
                <w:spacing w:val="-2"/>
                <w:kern w:val="0"/>
                <w:sz w:val="24"/>
                <w:highlight w:val="none"/>
              </w:rPr>
              <w:t>符合项目需求的得</w:t>
            </w:r>
            <w:r>
              <w:rPr>
                <w:rFonts w:hint="eastAsia" w:ascii="仿宋" w:hAnsi="仿宋" w:eastAsia="仿宋" w:cs="仿宋"/>
                <w:color w:val="auto"/>
                <w:spacing w:val="-2"/>
                <w:kern w:val="0"/>
                <w:sz w:val="24"/>
                <w:highlight w:val="none"/>
                <w:lang w:val="en-US" w:eastAsia="zh-CN"/>
              </w:rPr>
              <w:t>3</w:t>
            </w:r>
            <w:r>
              <w:rPr>
                <w:rFonts w:hint="eastAsia" w:ascii="仿宋" w:hAnsi="仿宋" w:eastAsia="仿宋" w:cs="仿宋"/>
                <w:color w:val="auto"/>
                <w:spacing w:val="-2"/>
                <w:kern w:val="0"/>
                <w:sz w:val="24"/>
                <w:highlight w:val="none"/>
              </w:rPr>
              <w:t>.0-</w:t>
            </w:r>
            <w:r>
              <w:rPr>
                <w:rFonts w:hint="eastAsia" w:ascii="仿宋" w:hAnsi="仿宋" w:eastAsia="仿宋" w:cs="仿宋"/>
                <w:color w:val="auto"/>
                <w:spacing w:val="-2"/>
                <w:kern w:val="0"/>
                <w:sz w:val="24"/>
                <w:highlight w:val="none"/>
                <w:lang w:val="en-US" w:eastAsia="zh-CN"/>
              </w:rPr>
              <w:t>1</w:t>
            </w:r>
            <w:r>
              <w:rPr>
                <w:rFonts w:hint="eastAsia" w:ascii="仿宋" w:hAnsi="仿宋" w:eastAsia="仿宋" w:cs="仿宋"/>
                <w:color w:val="auto"/>
                <w:spacing w:val="-2"/>
                <w:kern w:val="0"/>
                <w:sz w:val="24"/>
                <w:highlight w:val="none"/>
              </w:rPr>
              <w:t>.1分，部分符合项目需求的得</w:t>
            </w:r>
            <w:r>
              <w:rPr>
                <w:rFonts w:hint="eastAsia" w:ascii="仿宋" w:hAnsi="仿宋" w:eastAsia="仿宋" w:cs="仿宋"/>
                <w:color w:val="auto"/>
                <w:spacing w:val="-2"/>
                <w:kern w:val="0"/>
                <w:sz w:val="24"/>
                <w:highlight w:val="none"/>
                <w:lang w:val="en-US" w:eastAsia="zh-CN"/>
              </w:rPr>
              <w:t>1</w:t>
            </w:r>
            <w:r>
              <w:rPr>
                <w:rFonts w:hint="eastAsia" w:ascii="仿宋" w:hAnsi="仿宋" w:eastAsia="仿宋" w:cs="仿宋"/>
                <w:color w:val="auto"/>
                <w:spacing w:val="-2"/>
                <w:kern w:val="0"/>
                <w:sz w:val="24"/>
                <w:highlight w:val="none"/>
              </w:rPr>
              <w:t>-0.1分，不符合或不提供的不得分。</w:t>
            </w:r>
          </w:p>
          <w:p>
            <w:pPr>
              <w:pStyle w:val="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投标人针对本项目提供的项目团队实施服务方案，包括但不限于：①人员配置计划、②职责分工、③组织架构、④人员管理措施、⑤技术服务保障、⑥应急措施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评标委员会</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val="en-US" w:eastAsia="zh-CN"/>
              </w:rPr>
              <w:t>实施服务</w:t>
            </w:r>
            <w:r>
              <w:rPr>
                <w:rFonts w:hint="eastAsia" w:ascii="仿宋" w:hAnsi="仿宋" w:eastAsia="仿宋" w:cs="仿宋"/>
                <w:color w:val="auto"/>
                <w:sz w:val="24"/>
                <w:szCs w:val="24"/>
                <w:highlight w:val="none"/>
              </w:rPr>
              <w:t>方案进行评分：</w:t>
            </w:r>
            <w:r>
              <w:rPr>
                <w:rFonts w:hint="eastAsia" w:ascii="仿宋" w:hAnsi="仿宋" w:eastAsia="仿宋" w:cs="仿宋"/>
                <w:color w:val="auto"/>
                <w:spacing w:val="-2"/>
                <w:kern w:val="0"/>
                <w:sz w:val="24"/>
                <w:highlight w:val="none"/>
                <w:lang w:eastAsia="zh-Hans"/>
              </w:rPr>
              <w:t>完全满足或</w:t>
            </w:r>
            <w:r>
              <w:rPr>
                <w:rFonts w:hint="eastAsia" w:ascii="仿宋" w:hAnsi="仿宋" w:eastAsia="仿宋" w:cs="仿宋"/>
                <w:color w:val="auto"/>
                <w:spacing w:val="-2"/>
                <w:kern w:val="0"/>
                <w:sz w:val="24"/>
                <w:highlight w:val="none"/>
              </w:rPr>
              <w:t>优于项目需求要求的得</w:t>
            </w:r>
            <w:r>
              <w:rPr>
                <w:rFonts w:hint="eastAsia" w:ascii="仿宋" w:hAnsi="仿宋" w:eastAsia="仿宋" w:cs="仿宋"/>
                <w:color w:val="auto"/>
                <w:spacing w:val="-2"/>
                <w:kern w:val="0"/>
                <w:sz w:val="24"/>
                <w:highlight w:val="none"/>
                <w:lang w:val="en-US" w:eastAsia="zh-CN"/>
              </w:rPr>
              <w:t>5</w:t>
            </w:r>
            <w:r>
              <w:rPr>
                <w:rFonts w:hint="eastAsia" w:ascii="仿宋" w:hAnsi="仿宋" w:eastAsia="仿宋" w:cs="仿宋"/>
                <w:color w:val="auto"/>
                <w:spacing w:val="-2"/>
                <w:kern w:val="0"/>
                <w:sz w:val="24"/>
                <w:highlight w:val="none"/>
              </w:rPr>
              <w:t>.0-</w:t>
            </w:r>
            <w:r>
              <w:rPr>
                <w:rFonts w:hint="eastAsia" w:ascii="仿宋" w:hAnsi="仿宋" w:eastAsia="仿宋" w:cs="仿宋"/>
                <w:color w:val="auto"/>
                <w:spacing w:val="-2"/>
                <w:kern w:val="0"/>
                <w:sz w:val="24"/>
                <w:highlight w:val="none"/>
                <w:lang w:val="en-US" w:eastAsia="zh-CN"/>
              </w:rPr>
              <w:t>3</w:t>
            </w:r>
            <w:r>
              <w:rPr>
                <w:rFonts w:hint="eastAsia" w:ascii="仿宋" w:hAnsi="仿宋" w:eastAsia="仿宋" w:cs="仿宋"/>
                <w:color w:val="auto"/>
                <w:spacing w:val="-2"/>
                <w:kern w:val="0"/>
                <w:sz w:val="24"/>
                <w:highlight w:val="none"/>
              </w:rPr>
              <w:t>.1分，</w:t>
            </w:r>
            <w:r>
              <w:rPr>
                <w:rFonts w:hint="eastAsia" w:ascii="仿宋" w:hAnsi="仿宋" w:eastAsia="仿宋" w:cs="仿宋"/>
                <w:color w:val="auto"/>
                <w:spacing w:val="-2"/>
                <w:kern w:val="0"/>
                <w:sz w:val="24"/>
                <w:highlight w:val="none"/>
                <w:lang w:eastAsia="zh-Hans"/>
              </w:rPr>
              <w:t>基本</w:t>
            </w:r>
            <w:r>
              <w:rPr>
                <w:rFonts w:hint="eastAsia" w:ascii="仿宋" w:hAnsi="仿宋" w:eastAsia="仿宋" w:cs="仿宋"/>
                <w:color w:val="auto"/>
                <w:spacing w:val="-2"/>
                <w:kern w:val="0"/>
                <w:sz w:val="24"/>
                <w:highlight w:val="none"/>
              </w:rPr>
              <w:t>符合项目需求的得</w:t>
            </w:r>
            <w:r>
              <w:rPr>
                <w:rFonts w:hint="eastAsia" w:ascii="仿宋" w:hAnsi="仿宋" w:eastAsia="仿宋" w:cs="仿宋"/>
                <w:color w:val="auto"/>
                <w:spacing w:val="-2"/>
                <w:kern w:val="0"/>
                <w:sz w:val="24"/>
                <w:highlight w:val="none"/>
                <w:lang w:val="en-US" w:eastAsia="zh-CN"/>
              </w:rPr>
              <w:t>3</w:t>
            </w:r>
            <w:r>
              <w:rPr>
                <w:rFonts w:hint="eastAsia" w:ascii="仿宋" w:hAnsi="仿宋" w:eastAsia="仿宋" w:cs="仿宋"/>
                <w:color w:val="auto"/>
                <w:spacing w:val="-2"/>
                <w:kern w:val="0"/>
                <w:sz w:val="24"/>
                <w:highlight w:val="none"/>
              </w:rPr>
              <w:t>.0-</w:t>
            </w:r>
            <w:r>
              <w:rPr>
                <w:rFonts w:hint="eastAsia" w:ascii="仿宋" w:hAnsi="仿宋" w:eastAsia="仿宋" w:cs="仿宋"/>
                <w:color w:val="auto"/>
                <w:spacing w:val="-2"/>
                <w:kern w:val="0"/>
                <w:sz w:val="24"/>
                <w:highlight w:val="none"/>
                <w:lang w:val="en-US" w:eastAsia="zh-CN"/>
              </w:rPr>
              <w:t>1</w:t>
            </w:r>
            <w:r>
              <w:rPr>
                <w:rFonts w:hint="eastAsia" w:ascii="仿宋" w:hAnsi="仿宋" w:eastAsia="仿宋" w:cs="仿宋"/>
                <w:color w:val="auto"/>
                <w:spacing w:val="-2"/>
                <w:kern w:val="0"/>
                <w:sz w:val="24"/>
                <w:highlight w:val="none"/>
              </w:rPr>
              <w:t>.1分，部分符合项目需求的得</w:t>
            </w:r>
            <w:r>
              <w:rPr>
                <w:rFonts w:hint="eastAsia" w:ascii="仿宋" w:hAnsi="仿宋" w:eastAsia="仿宋" w:cs="仿宋"/>
                <w:color w:val="auto"/>
                <w:spacing w:val="-2"/>
                <w:kern w:val="0"/>
                <w:sz w:val="24"/>
                <w:highlight w:val="none"/>
                <w:lang w:val="en-US" w:eastAsia="zh-CN"/>
              </w:rPr>
              <w:t>1</w:t>
            </w:r>
            <w:r>
              <w:rPr>
                <w:rFonts w:hint="eastAsia" w:ascii="仿宋" w:hAnsi="仿宋" w:eastAsia="仿宋" w:cs="仿宋"/>
                <w:color w:val="auto"/>
                <w:spacing w:val="-2"/>
                <w:kern w:val="0"/>
                <w:sz w:val="24"/>
                <w:highlight w:val="none"/>
              </w:rPr>
              <w:t>-0.1分，不符合或不提供的不得分。</w:t>
            </w:r>
          </w:p>
        </w:tc>
      </w:tr>
      <w:tr>
        <w:tblPrEx>
          <w:tblCellMar>
            <w:top w:w="0" w:type="dxa"/>
            <w:left w:w="108" w:type="dxa"/>
            <w:bottom w:w="0" w:type="dxa"/>
            <w:right w:w="108" w:type="dxa"/>
          </w:tblCellMar>
        </w:tblPrEx>
        <w:trPr>
          <w:trHeight w:val="350" w:hRule="atLeast"/>
          <w:jc w:val="center"/>
        </w:trPr>
        <w:tc>
          <w:tcPr>
            <w:tcW w:w="6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35"/>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1236"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售后及培训方案部分</w:t>
            </w:r>
          </w:p>
        </w:tc>
        <w:tc>
          <w:tcPr>
            <w:tcW w:w="708"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6209" w:type="dxa"/>
            <w:tcBorders>
              <w:top w:val="single" w:color="000000" w:sz="4" w:space="0"/>
              <w:bottom w:val="single" w:color="000000" w:sz="4" w:space="0"/>
              <w:right w:val="single" w:color="000000" w:sz="4" w:space="0"/>
            </w:tcBorders>
            <w:tcMar>
              <w:top w:w="0" w:type="dxa"/>
              <w:left w:w="108" w:type="dxa"/>
              <w:bottom w:w="0" w:type="dxa"/>
              <w:right w:w="108" w:type="dxa"/>
            </w:tcMar>
          </w:tcPr>
          <w:p>
            <w:pPr>
              <w:pStyle w:val="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根据投标人提供的售后及培训服务进行评审，包括：①售后服务人员配置及联系电话②售后服务承诺③项目培训方案④售后服务方案，</w:t>
            </w:r>
            <w:r>
              <w:rPr>
                <w:rFonts w:hint="eastAsia" w:ascii="仿宋" w:hAnsi="仿宋" w:eastAsia="仿宋" w:cs="仿宋"/>
                <w:color w:val="auto"/>
                <w:sz w:val="24"/>
                <w:szCs w:val="24"/>
                <w:highlight w:val="none"/>
                <w:lang w:val="en-US" w:eastAsia="zh-CN"/>
              </w:rPr>
              <w:t>评标委员会</w:t>
            </w:r>
            <w:r>
              <w:rPr>
                <w:rFonts w:hint="eastAsia" w:ascii="仿宋" w:hAnsi="仿宋" w:eastAsia="仿宋" w:cs="仿宋"/>
                <w:color w:val="auto"/>
                <w:sz w:val="24"/>
                <w:szCs w:val="24"/>
                <w:highlight w:val="none"/>
              </w:rPr>
              <w:t>对</w:t>
            </w:r>
            <w:r>
              <w:rPr>
                <w:rFonts w:hint="eastAsia" w:ascii="仿宋" w:hAnsi="仿宋" w:eastAsia="仿宋" w:cs="仿宋"/>
                <w:color w:val="auto"/>
                <w:kern w:val="0"/>
                <w:sz w:val="24"/>
                <w:szCs w:val="24"/>
                <w:highlight w:val="none"/>
              </w:rPr>
              <w:t>售后及培训方案</w:t>
            </w:r>
            <w:r>
              <w:rPr>
                <w:rFonts w:hint="eastAsia" w:ascii="仿宋" w:hAnsi="仿宋" w:eastAsia="仿宋" w:cs="仿宋"/>
                <w:color w:val="auto"/>
                <w:sz w:val="24"/>
                <w:szCs w:val="24"/>
                <w:highlight w:val="none"/>
              </w:rPr>
              <w:t>进行评分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pacing w:val="-2"/>
                <w:kern w:val="0"/>
                <w:sz w:val="24"/>
                <w:highlight w:val="none"/>
                <w:lang w:eastAsia="zh-Hans"/>
              </w:rPr>
              <w:t>完全满足或</w:t>
            </w:r>
            <w:r>
              <w:rPr>
                <w:rFonts w:hint="eastAsia" w:ascii="仿宋" w:hAnsi="仿宋" w:eastAsia="仿宋" w:cs="仿宋"/>
                <w:color w:val="auto"/>
                <w:spacing w:val="-2"/>
                <w:kern w:val="0"/>
                <w:sz w:val="24"/>
                <w:highlight w:val="none"/>
              </w:rPr>
              <w:t>优于项目需求要求的得</w:t>
            </w:r>
            <w:r>
              <w:rPr>
                <w:rFonts w:hint="eastAsia" w:ascii="仿宋" w:hAnsi="仿宋" w:eastAsia="仿宋" w:cs="仿宋"/>
                <w:color w:val="auto"/>
                <w:spacing w:val="-2"/>
                <w:kern w:val="0"/>
                <w:sz w:val="24"/>
                <w:highlight w:val="none"/>
                <w:lang w:val="en-US" w:eastAsia="zh-CN"/>
              </w:rPr>
              <w:t>10</w:t>
            </w:r>
            <w:r>
              <w:rPr>
                <w:rFonts w:hint="eastAsia" w:ascii="仿宋" w:hAnsi="仿宋" w:eastAsia="仿宋" w:cs="仿宋"/>
                <w:color w:val="auto"/>
                <w:spacing w:val="-2"/>
                <w:kern w:val="0"/>
                <w:sz w:val="24"/>
                <w:highlight w:val="none"/>
              </w:rPr>
              <w:t>.0-</w:t>
            </w:r>
            <w:r>
              <w:rPr>
                <w:rFonts w:hint="eastAsia" w:ascii="仿宋" w:hAnsi="仿宋" w:eastAsia="仿宋" w:cs="仿宋"/>
                <w:color w:val="auto"/>
                <w:spacing w:val="-2"/>
                <w:kern w:val="0"/>
                <w:sz w:val="24"/>
                <w:highlight w:val="none"/>
                <w:lang w:val="en-US" w:eastAsia="zh-CN"/>
              </w:rPr>
              <w:t>7</w:t>
            </w:r>
            <w:r>
              <w:rPr>
                <w:rFonts w:hint="eastAsia" w:ascii="仿宋" w:hAnsi="仿宋" w:eastAsia="仿宋" w:cs="仿宋"/>
                <w:color w:val="auto"/>
                <w:spacing w:val="-2"/>
                <w:kern w:val="0"/>
                <w:sz w:val="24"/>
                <w:highlight w:val="none"/>
              </w:rPr>
              <w:t>.1分，</w:t>
            </w:r>
            <w:r>
              <w:rPr>
                <w:rFonts w:hint="eastAsia" w:ascii="仿宋" w:hAnsi="仿宋" w:eastAsia="仿宋" w:cs="仿宋"/>
                <w:color w:val="auto"/>
                <w:spacing w:val="-2"/>
                <w:kern w:val="0"/>
                <w:sz w:val="24"/>
                <w:highlight w:val="none"/>
                <w:lang w:eastAsia="zh-Hans"/>
              </w:rPr>
              <w:t>基本</w:t>
            </w:r>
            <w:r>
              <w:rPr>
                <w:rFonts w:hint="eastAsia" w:ascii="仿宋" w:hAnsi="仿宋" w:eastAsia="仿宋" w:cs="仿宋"/>
                <w:color w:val="auto"/>
                <w:spacing w:val="-2"/>
                <w:kern w:val="0"/>
                <w:sz w:val="24"/>
                <w:highlight w:val="none"/>
              </w:rPr>
              <w:t>符合项目需求的得</w:t>
            </w:r>
            <w:r>
              <w:rPr>
                <w:rFonts w:hint="eastAsia" w:ascii="仿宋" w:hAnsi="仿宋" w:eastAsia="仿宋" w:cs="仿宋"/>
                <w:color w:val="auto"/>
                <w:spacing w:val="-2"/>
                <w:kern w:val="0"/>
                <w:sz w:val="24"/>
                <w:highlight w:val="none"/>
                <w:lang w:val="en-US" w:eastAsia="zh-CN"/>
              </w:rPr>
              <w:t>7</w:t>
            </w:r>
            <w:r>
              <w:rPr>
                <w:rFonts w:hint="eastAsia" w:ascii="仿宋" w:hAnsi="仿宋" w:eastAsia="仿宋" w:cs="仿宋"/>
                <w:color w:val="auto"/>
                <w:spacing w:val="-2"/>
                <w:kern w:val="0"/>
                <w:sz w:val="24"/>
                <w:highlight w:val="none"/>
              </w:rPr>
              <w:t>.0-</w:t>
            </w:r>
            <w:r>
              <w:rPr>
                <w:rFonts w:hint="eastAsia" w:ascii="仿宋" w:hAnsi="仿宋" w:eastAsia="仿宋" w:cs="仿宋"/>
                <w:color w:val="auto"/>
                <w:spacing w:val="-2"/>
                <w:kern w:val="0"/>
                <w:sz w:val="24"/>
                <w:highlight w:val="none"/>
                <w:lang w:val="en-US" w:eastAsia="zh-CN"/>
              </w:rPr>
              <w:t>4</w:t>
            </w:r>
            <w:r>
              <w:rPr>
                <w:rFonts w:hint="eastAsia" w:ascii="仿宋" w:hAnsi="仿宋" w:eastAsia="仿宋" w:cs="仿宋"/>
                <w:color w:val="auto"/>
                <w:spacing w:val="-2"/>
                <w:kern w:val="0"/>
                <w:sz w:val="24"/>
                <w:highlight w:val="none"/>
              </w:rPr>
              <w:t>.1分，部分符合项目需求的得</w:t>
            </w:r>
            <w:r>
              <w:rPr>
                <w:rFonts w:hint="eastAsia" w:ascii="仿宋" w:hAnsi="仿宋" w:eastAsia="仿宋" w:cs="仿宋"/>
                <w:color w:val="auto"/>
                <w:spacing w:val="-2"/>
                <w:kern w:val="0"/>
                <w:sz w:val="24"/>
                <w:highlight w:val="none"/>
                <w:lang w:val="en-US" w:eastAsia="zh-CN"/>
              </w:rPr>
              <w:t>4</w:t>
            </w:r>
            <w:r>
              <w:rPr>
                <w:rFonts w:hint="eastAsia" w:ascii="仿宋" w:hAnsi="仿宋" w:eastAsia="仿宋" w:cs="仿宋"/>
                <w:color w:val="auto"/>
                <w:spacing w:val="-2"/>
                <w:kern w:val="0"/>
                <w:sz w:val="24"/>
                <w:highlight w:val="none"/>
              </w:rPr>
              <w:t>-0.1分，不符合或不提供的不得分。</w:t>
            </w:r>
          </w:p>
        </w:tc>
      </w:tr>
    </w:tbl>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30</w:t>
      </w:r>
    </w:p>
    <w:p>
      <w:pPr>
        <w:snapToGrid w:val="0"/>
        <w:rPr>
          <w:rFonts w:ascii="仿宋_GB2312" w:hAnsi="宋体" w:eastAsia="仿宋_GB2312"/>
          <w:b/>
          <w:color w:val="auto"/>
          <w:sz w:val="24"/>
          <w:highlight w:val="none"/>
          <w:u w:val="single"/>
        </w:rPr>
      </w:pPr>
    </w:p>
    <w:bookmarkEnd w:id="8"/>
    <w:bookmarkEnd w:id="9"/>
    <w:bookmarkEnd w:id="10"/>
    <w:bookmarkEnd w:id="11"/>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hint="eastAsia" w:ascii="仿宋_GB2312" w:hAnsi="宋体" w:eastAsia="仿宋_GB2312"/>
          <w:b/>
          <w:color w:val="auto"/>
          <w:sz w:val="36"/>
          <w:szCs w:val="36"/>
          <w:highlight w:val="none"/>
        </w:rPr>
        <w:t>投标文件</w:t>
      </w:r>
      <w:r>
        <w:rPr>
          <w:rFonts w:hint="eastAsia" w:ascii="仿宋_GB2312" w:hAnsi="仿宋_GB2312" w:eastAsia="仿宋_GB2312" w:cs="仿宋_GB2312"/>
          <w:b/>
          <w:color w:val="auto"/>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（1）投标响应函……………………………………………………（页码）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（2）开标一览表……………………………………………………（页码）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（3）中小企业声明函………………………………………………（页码）</w:t>
      </w:r>
    </w:p>
    <w:p>
      <w:pPr>
        <w:spacing w:line="360" w:lineRule="auto"/>
        <w:outlineLvl w:val="0"/>
        <w:rPr>
          <w:rFonts w:ascii="仿宋_GB2312" w:hAnsi="宋体" w:eastAsia="仿宋_GB2312"/>
          <w:b/>
          <w:color w:val="auto"/>
          <w:sz w:val="36"/>
          <w:szCs w:val="36"/>
          <w:highlight w:val="none"/>
        </w:rPr>
      </w:pPr>
      <w:r>
        <w:rPr>
          <w:rFonts w:hint="eastAsia" w:ascii="仿宋_GB2312" w:hAnsi="仿宋_GB2312" w:eastAsia="仿宋_GB2312" w:cs="仿宋_GB2312"/>
          <w:color w:val="auto"/>
          <w:sz w:val="24"/>
          <w:highlight w:val="none"/>
        </w:rPr>
        <w:t>（4）残疾人福利性单位声明函</w:t>
      </w:r>
      <w:r>
        <w:rPr>
          <w:rFonts w:hint="eastAsia" w:ascii="仿宋_GB2312" w:hAnsi="仿宋_GB2312" w:eastAsia="仿宋_GB2312" w:cs="仿宋_GB2312"/>
          <w:color w:val="auto"/>
          <w:kern w:val="0"/>
          <w:sz w:val="24"/>
          <w:highlight w:val="none"/>
        </w:rPr>
        <w:t>……………………………………（页码）</w:t>
      </w:r>
    </w:p>
    <w:p>
      <w:pPr>
        <w:pStyle w:val="20"/>
        <w:spacing w:line="800" w:lineRule="atLeast"/>
        <w:ind w:left="0" w:leftChars="0"/>
        <w:rPr>
          <w:rFonts w:ascii="仿宋_GB2312" w:hAnsi="宋体" w:eastAsia="仿宋_GB2312"/>
          <w:b/>
          <w:color w:val="auto"/>
          <w:sz w:val="36"/>
          <w:szCs w:val="36"/>
          <w:highlight w:val="none"/>
        </w:rPr>
      </w:pPr>
    </w:p>
    <w:p>
      <w:pPr>
        <w:pStyle w:val="20"/>
        <w:spacing w:line="800" w:lineRule="atLeast"/>
        <w:ind w:left="0" w:leftChars="0"/>
        <w:rPr>
          <w:rFonts w:ascii="仿宋_GB2312" w:hAnsi="宋体" w:eastAsia="仿宋_GB2312"/>
          <w:b/>
          <w:color w:val="auto"/>
          <w:sz w:val="36"/>
          <w:szCs w:val="36"/>
          <w:highlight w:val="none"/>
        </w:rPr>
      </w:pPr>
    </w:p>
    <w:p>
      <w:pPr>
        <w:pStyle w:val="20"/>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pageBreakBefore/>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1、投标响应函（格式）</w:t>
      </w:r>
    </w:p>
    <w:p>
      <w:pPr>
        <w:pStyle w:val="86"/>
        <w:spacing w:afterLines="0" w:line="440" w:lineRule="exact"/>
        <w:ind w:firstLine="0" w:firstLineChars="0"/>
        <w:rPr>
          <w:rFonts w:ascii="仿宋_GB2312" w:hAnsi="宋体" w:eastAsia="仿宋_GB2312"/>
          <w:color w:val="auto"/>
          <w:szCs w:val="24"/>
          <w:highlight w:val="none"/>
        </w:rPr>
      </w:pPr>
    </w:p>
    <w:p>
      <w:pPr>
        <w:pStyle w:val="86"/>
        <w:spacing w:afterLines="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eastAsia="zh-CN"/>
        </w:rPr>
        <w:t>绍兴市口腔医院</w:t>
      </w:r>
      <w:r>
        <w:rPr>
          <w:rFonts w:hint="eastAsia" w:ascii="仿宋_GB2312" w:hAnsi="宋体" w:eastAsia="仿宋_GB2312"/>
          <w:color w:val="auto"/>
          <w:szCs w:val="24"/>
          <w:highlight w:val="none"/>
          <w:u w:val="single"/>
        </w:rPr>
        <w:t>、浙江泛亚工程咨询有限公司</w:t>
      </w:r>
    </w:p>
    <w:p>
      <w:pPr>
        <w:pStyle w:val="86"/>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根据贵方招标文件（</w:t>
      </w:r>
      <w:r>
        <w:rPr>
          <w:rFonts w:hint="eastAsia" w:ascii="仿宋_GB2312" w:hAnsi="宋体" w:eastAsia="仿宋_GB2312"/>
          <w:b/>
          <w:color w:val="auto"/>
          <w:szCs w:val="24"/>
          <w:highlight w:val="none"/>
          <w:u w:val="single"/>
        </w:rPr>
        <w:t>填写招标编号：</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代表投标人</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提交投标文件。</w:t>
      </w:r>
    </w:p>
    <w:p>
      <w:pPr>
        <w:pStyle w:val="86"/>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我方同意在投标人</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规定的开标日期起遵守本投标文件中的承诺且在投标有效期满之前均具有约束力</w:t>
      </w:r>
      <w:r>
        <w:rPr>
          <w:rFonts w:hint="eastAsia" w:ascii="仿宋_GB2312" w:hAnsi="宋体" w:eastAsia="仿宋_GB2312"/>
          <w:color w:val="auto"/>
          <w:szCs w:val="24"/>
          <w:highlight w:val="none"/>
        </w:rPr>
        <w:t>。</w:t>
      </w:r>
    </w:p>
    <w:p>
      <w:pPr>
        <w:pStyle w:val="86"/>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2.我方承诺已经具备《中华人民共和国政府采购法》中规定的参加政府采购活动的供应商应当具备的条件。</w:t>
      </w:r>
    </w:p>
    <w:p>
      <w:pPr>
        <w:pStyle w:val="86"/>
        <w:spacing w:afterLines="0" w:line="440" w:lineRule="exact"/>
        <w:ind w:firstLine="480"/>
        <w:rPr>
          <w:rFonts w:ascii="仿宋_GB2312" w:eastAsia="仿宋_GB2312"/>
          <w:color w:val="auto"/>
          <w:highlight w:val="none"/>
        </w:rPr>
      </w:pPr>
      <w:r>
        <w:rPr>
          <w:rFonts w:hint="eastAsia" w:ascii="仿宋_GB2312" w:hAnsi="宋体" w:eastAsia="仿宋_GB2312"/>
          <w:color w:val="auto"/>
          <w:szCs w:val="24"/>
          <w:highlight w:val="none"/>
        </w:rPr>
        <w:t>3.</w:t>
      </w:r>
      <w:r>
        <w:rPr>
          <w:rFonts w:hint="eastAsia" w:ascii="仿宋_GB2312" w:eastAsia="仿宋_GB2312"/>
          <w:color w:val="auto"/>
          <w:highlight w:val="none"/>
        </w:rPr>
        <w:t>本公司投标文件中填列的技术参数、配置、服务、数量等相关内容都是真实、准确的。保证在本次项目中所提供的资料全部真实和合法。同意向浙江泛亚工程咨询有限公司提供可能另外要求的与投标有关的任何数据或资料。</w:t>
      </w:r>
    </w:p>
    <w:p>
      <w:pPr>
        <w:pStyle w:val="86"/>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5.</w:t>
      </w:r>
      <w:r>
        <w:rPr>
          <w:rFonts w:hint="eastAsia" w:ascii="仿宋_GB2312" w:hAnsi="宋体" w:eastAsia="仿宋_GB2312"/>
          <w:color w:val="auto"/>
          <w:szCs w:val="24"/>
          <w:highlight w:val="none"/>
        </w:rPr>
        <w:t>本投标自开标之日（投标截止之日）起90天内有效。</w:t>
      </w:r>
    </w:p>
    <w:p>
      <w:pPr>
        <w:pStyle w:val="86"/>
        <w:spacing w:afterLines="0" w:line="440" w:lineRule="exact"/>
        <w:ind w:firstLine="480"/>
        <w:rPr>
          <w:rFonts w:ascii="仿宋_GB2312" w:hAnsi="仿宋_GB2312" w:eastAsia="仿宋_GB2312" w:cs="仿宋_GB2312"/>
          <w:color w:val="auto"/>
          <w:highlight w:val="none"/>
        </w:rPr>
      </w:pPr>
      <w:r>
        <w:rPr>
          <w:rFonts w:hint="eastAsia" w:ascii="仿宋_GB2312" w:hAnsi="宋体" w:eastAsia="仿宋_GB2312"/>
          <w:color w:val="auto"/>
          <w:szCs w:val="24"/>
          <w:highlight w:val="none"/>
        </w:rPr>
        <w:t>6</w:t>
      </w:r>
      <w:r>
        <w:rPr>
          <w:rFonts w:hint="eastAsia" w:ascii="仿宋_GB2312" w:hAnsi="仿宋_GB2312" w:eastAsia="仿宋_GB2312" w:cs="仿宋_GB2312"/>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86"/>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pPr>
        <w:pStyle w:val="86"/>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pPr>
        <w:pStyle w:val="86"/>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帐号：</w:t>
      </w:r>
    </w:p>
    <w:p>
      <w:pPr>
        <w:pStyle w:val="86"/>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法定代表人或其授权代表(签字或盖章)：</w:t>
      </w:r>
    </w:p>
    <w:p>
      <w:pPr>
        <w:pStyle w:val="86"/>
        <w:spacing w:afterLines="0" w:line="440" w:lineRule="exact"/>
        <w:ind w:firstLine="480"/>
        <w:rPr>
          <w:rFonts w:ascii="仿宋_GB2312" w:hAnsi="宋体" w:eastAsia="仿宋_GB2312"/>
          <w:b/>
          <w:color w:val="auto"/>
          <w:sz w:val="30"/>
          <w:szCs w:val="30"/>
          <w:highlight w:val="none"/>
        </w:rPr>
      </w:pPr>
      <w:r>
        <w:rPr>
          <w:rFonts w:hint="eastAsia" w:ascii="仿宋_GB2312" w:hAnsi="宋体" w:eastAsia="仿宋_GB2312"/>
          <w:color w:val="auto"/>
          <w:szCs w:val="24"/>
          <w:highlight w:val="none"/>
        </w:rPr>
        <w:t xml:space="preserve">投标人(电子签章)：　　　　　　　　　日期：   </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2、开标一览表（格式）</w:t>
      </w:r>
    </w:p>
    <w:p>
      <w:pPr>
        <w:spacing w:line="400" w:lineRule="exact"/>
        <w:rPr>
          <w:rFonts w:ascii="仿宋_GB2312" w:hAnsi="宋体" w:eastAsia="仿宋_GB2312"/>
          <w:color w:val="auto"/>
          <w:sz w:val="24"/>
          <w:highlight w:val="none"/>
        </w:rPr>
      </w:pP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p>
    <w:p>
      <w:pPr>
        <w:snapToGrid w:val="0"/>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标    项：</w:t>
      </w:r>
    </w:p>
    <w:p>
      <w:pPr>
        <w:snapToGrid w:val="0"/>
        <w:spacing w:line="40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招标编号：</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highlight w:val="none"/>
              </w:rPr>
            </w:pPr>
            <w:r>
              <w:rPr>
                <w:rFonts w:hint="eastAsia" w:ascii="宋体" w:hAnsi="宋体"/>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型号和规格</w:t>
            </w:r>
            <w:r>
              <w:rPr>
                <w:rFonts w:hint="eastAsia" w:ascii="宋体" w:hAnsi="宋体"/>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大写：</w:t>
            </w:r>
          </w:p>
        </w:tc>
      </w:tr>
    </w:tbl>
    <w:p>
      <w:pPr>
        <w:snapToGrid w:val="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auto"/>
          <w:sz w:val="24"/>
          <w:highlight w:val="none"/>
        </w:rPr>
      </w:pPr>
      <w:r>
        <w:rPr>
          <w:rFonts w:hint="eastAsia" w:ascii="仿宋_GB2312" w:hAnsi="仿宋_GB2312" w:eastAsia="仿宋_GB2312" w:cs="仿宋_GB2312"/>
          <w:color w:val="auto"/>
          <w:kern w:val="0"/>
          <w:sz w:val="24"/>
          <w:highlight w:val="none"/>
          <w:lang w:val="zh-CN"/>
        </w:rPr>
        <w:t>5.</w:t>
      </w:r>
      <w:r>
        <w:rPr>
          <w:rFonts w:hint="eastAsia" w:ascii="仿宋_GB2312" w:hAnsi="宋体" w:eastAsia="仿宋_GB2312"/>
          <w:color w:val="auto"/>
          <w:kern w:val="0"/>
          <w:sz w:val="24"/>
          <w:highlight w:val="none"/>
          <w:lang w:val="zh-CN"/>
        </w:rPr>
        <w:t>以上表格要求细分项目及报价，</w:t>
      </w:r>
      <w:r>
        <w:rPr>
          <w:rFonts w:hint="eastAsia" w:ascii="仿宋_GB2312" w:hAnsi="仿宋" w:eastAsia="仿宋_GB2312" w:cs="Arial"/>
          <w:b/>
          <w:color w:val="auto"/>
          <w:kern w:val="0"/>
          <w:sz w:val="24"/>
          <w:highlight w:val="none"/>
        </w:rPr>
        <w:t>在“规格型号（或具体服务）”一栏中，货物类项目填写规格型号，服务类项目填写具体服务。</w:t>
      </w:r>
      <w:r>
        <w:rPr>
          <w:rFonts w:hint="eastAsia" w:ascii="仿宋_GB2312" w:hAnsi="宋体" w:eastAsia="仿宋_GB2312"/>
          <w:b/>
          <w:color w:val="auto"/>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highlight w:val="none"/>
          <w:lang w:val="zh-CN"/>
        </w:rPr>
      </w:pPr>
      <w:r>
        <w:rPr>
          <w:rFonts w:hint="eastAsia" w:ascii="仿宋_GB2312" w:hAnsi="宋体" w:eastAsia="仿宋_GB2312"/>
          <w:b/>
          <w:color w:val="auto"/>
          <w:sz w:val="24"/>
          <w:highlight w:val="none"/>
        </w:rPr>
        <w:t>6</w:t>
      </w:r>
      <w:r>
        <w:rPr>
          <w:rFonts w:hint="eastAsia" w:ascii="仿宋_GB2312" w:hAnsi="宋体" w:eastAsia="仿宋_GB2312"/>
          <w:b/>
          <w:color w:val="auto"/>
          <w:kern w:val="0"/>
          <w:sz w:val="24"/>
          <w:highlight w:val="none"/>
          <w:lang w:val="zh-CN"/>
        </w:rPr>
        <w:t>.特别提示：采购机构将对</w:t>
      </w:r>
      <w:r>
        <w:rPr>
          <w:rFonts w:hint="eastAsia" w:ascii="仿宋_GB2312" w:hAnsi="仿宋" w:eastAsia="仿宋_GB2312" w:cs="宋体"/>
          <w:b/>
          <w:color w:val="auto"/>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投标人（电子签章）：</w:t>
      </w:r>
    </w:p>
    <w:p>
      <w:pPr>
        <w:spacing w:line="360" w:lineRule="auto"/>
        <w:outlineLvl w:val="0"/>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法定代表人或其授权代表（签字或盖章）：            日期：    年   月   日</w:t>
      </w:r>
    </w:p>
    <w:p>
      <w:pPr>
        <w:pageBreakBefore/>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203"/>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（1）法定代表人授权书 …………………………………………………………（页码）</w:t>
      </w:r>
    </w:p>
    <w:p>
      <w:pPr>
        <w:pStyle w:val="203"/>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（2）授权代表社保证明（复印件）………………………………………………（页码）</w:t>
      </w:r>
    </w:p>
    <w:p>
      <w:pPr>
        <w:pStyle w:val="203"/>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（3）法定代表人及其授权代表的身份证（复印件）……………………………（页码）</w:t>
      </w:r>
    </w:p>
    <w:p>
      <w:pPr>
        <w:pStyle w:val="203"/>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（4）法定代表人身份证明书………………………………………………………（页码）</w:t>
      </w:r>
    </w:p>
    <w:p>
      <w:pPr>
        <w:spacing w:line="360" w:lineRule="auto"/>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（5）资格审查有关的书面承诺函</w:t>
      </w:r>
      <w:r>
        <w:rPr>
          <w:rFonts w:hint="eastAsia" w:hAnsi="仿宋_GB2312" w:cs="仿宋_GB2312"/>
          <w:color w:val="auto"/>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pStyle w:val="203"/>
        <w:spacing w:line="360" w:lineRule="auto"/>
        <w:ind w:firstLine="0" w:firstLineChars="0"/>
        <w:rPr>
          <w:rFonts w:hAnsi="仿宋_GB2312" w:cs="仿宋_GB2312"/>
          <w:color w:val="auto"/>
          <w:highlight w:val="none"/>
        </w:rPr>
      </w:pPr>
      <w:r>
        <w:rPr>
          <w:rFonts w:hint="eastAsia" w:hAnsi="仿宋_GB2312" w:cs="仿宋_GB2312"/>
          <w:color w:val="auto"/>
          <w:highlight w:val="none"/>
        </w:rPr>
        <w:t>（6）符合特定资格条件（如果项目要求）的有关证明材料（复印件）………（页码）</w:t>
      </w:r>
    </w:p>
    <w:p>
      <w:pPr>
        <w:pStyle w:val="203"/>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（7）</w:t>
      </w:r>
      <w:r>
        <w:rPr>
          <w:rFonts w:hint="eastAsia" w:hAnsi="仿宋_GB2312" w:cs="仿宋_GB2312"/>
          <w:snapToGrid w:val="0"/>
          <w:color w:val="auto"/>
          <w:highlight w:val="none"/>
        </w:rPr>
        <w:t>投标人售后服务证明材料</w:t>
      </w:r>
      <w:r>
        <w:rPr>
          <w:rFonts w:hint="eastAsia" w:hAnsi="仿宋_GB2312" w:cs="仿宋_GB2312"/>
          <w:color w:val="auto"/>
          <w:highlight w:val="none"/>
        </w:rPr>
        <w:t>……………………………………………………（页码）</w:t>
      </w:r>
    </w:p>
    <w:p>
      <w:pPr>
        <w:pStyle w:val="203"/>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（8）</w:t>
      </w:r>
      <w:r>
        <w:rPr>
          <w:rFonts w:hint="eastAsia" w:hAnsi="仿宋_GB2312" w:cs="仿宋_GB2312"/>
          <w:color w:val="auto"/>
          <w:highlight w:val="none"/>
          <w:lang w:val="zh-CN"/>
        </w:rPr>
        <w:t>主要业绩证明…………………………………………………</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203"/>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（9）廉政承诺书 …………………………………………………………………（页码）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（10）技术解决方案…………………………………………………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（11）技术偏离说明表………………………………………………</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（12）组织实施方案……………………………………………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（13）售后服务方案……………………………………………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（14）项目小组人员名单………………………………………</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优惠条件及特殊承诺……………………………………</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培训计划………………………………………………………</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验收方案……………………………………………………………………（页码）</w:t>
      </w:r>
    </w:p>
    <w:p>
      <w:pPr>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（19）认为需要的其他商务技术（资信）文件或说明</w:t>
      </w:r>
      <w:r>
        <w:rPr>
          <w:rFonts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zh-CN"/>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（20）</w:t>
      </w:r>
      <w:r>
        <w:rPr>
          <w:rFonts w:hint="eastAsia" w:ascii="仿宋_GB2312" w:hAnsi="仿宋_GB2312" w:eastAsia="仿宋_GB2312" w:cs="仿宋_GB2312"/>
          <w:color w:val="auto"/>
          <w:kern w:val="0"/>
          <w:sz w:val="24"/>
          <w:highlight w:val="none"/>
          <w:lang w:val="zh-CN"/>
        </w:rPr>
        <w:t>联合协议（如有）……………………………………………………</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（21）</w:t>
      </w:r>
      <w:r>
        <w:rPr>
          <w:rFonts w:hint="eastAsia" w:ascii="仿宋_GB2312" w:hAnsi="仿宋_GB2312" w:eastAsia="仿宋_GB2312" w:cs="仿宋_GB2312"/>
          <w:color w:val="auto"/>
          <w:kern w:val="0"/>
          <w:sz w:val="24"/>
          <w:highlight w:val="none"/>
          <w:lang w:val="zh-CN"/>
        </w:rPr>
        <w:t>分包意向协议（如有）…………………………………………</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（22）中小企业声明函</w:t>
      </w:r>
      <w:r>
        <w:rPr>
          <w:rFonts w:hint="eastAsia" w:ascii="仿宋_GB2312" w:hAnsi="仿宋_GB2312" w:eastAsia="仿宋_GB2312" w:cs="仿宋_GB2312"/>
          <w:color w:val="auto"/>
          <w:kern w:val="0"/>
          <w:sz w:val="24"/>
          <w:highlight w:val="none"/>
          <w:lang w:val="zh-CN"/>
        </w:rPr>
        <w:t>（如有）</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注：以上目录是基本格式要求，各投标人可根据自身情况和评分标准进一步细化。</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1、法定代表人授权委托书（格式） </w:t>
      </w:r>
      <w:r>
        <w:rPr>
          <w:rFonts w:hint="eastAsia" w:ascii="仿宋_GB2312" w:hAnsi="仿宋" w:eastAsia="仿宋_GB2312" w:cs="仿宋_GB2312"/>
          <w:b/>
          <w:color w:val="auto"/>
          <w:kern w:val="0"/>
          <w:sz w:val="32"/>
          <w:szCs w:val="32"/>
          <w:highlight w:val="none"/>
          <w:lang w:val="zh-CN"/>
        </w:rPr>
        <w:t>（适用于非联合体投标）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本授权委托书声明：我</w:t>
      </w:r>
      <w:r>
        <w:rPr>
          <w:rFonts w:hint="eastAsia" w:ascii="仿宋_GB2312" w:hAnsi="宋体" w:eastAsia="仿宋_GB2312"/>
          <w:color w:val="auto"/>
          <w:sz w:val="24"/>
          <w:highlight w:val="none"/>
          <w:u w:val="single"/>
        </w:rPr>
        <w:t xml:space="preserve">         (填写姓名)</w:t>
      </w: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（填写投标人单位全称）</w:t>
      </w:r>
      <w:r>
        <w:rPr>
          <w:rFonts w:hint="eastAsia" w:ascii="仿宋_GB2312" w:hAnsi="宋体" w:eastAsia="仿宋_GB2312"/>
          <w:color w:val="auto"/>
          <w:sz w:val="24"/>
          <w:highlight w:val="none"/>
        </w:rPr>
        <w:t>的法定代表人，现授权委托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的（填写姓名）为我公司授权代表，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。以本公司的名义参加</w:t>
      </w:r>
      <w:r>
        <w:rPr>
          <w:rFonts w:hint="eastAsia" w:ascii="仿宋_GB2312" w:hAnsi="宋体" w:eastAsia="仿宋_GB2312"/>
          <w:color w:val="auto"/>
          <w:sz w:val="24"/>
          <w:highlight w:val="none"/>
          <w:u w:val="single"/>
          <w:lang w:eastAsia="zh-CN"/>
        </w:rPr>
        <w:t>绍兴市口腔医院</w:t>
      </w:r>
      <w:r>
        <w:rPr>
          <w:rFonts w:hint="eastAsia" w:ascii="仿宋_GB2312" w:hAnsi="宋体" w:eastAsia="仿宋_GB2312"/>
          <w:color w:val="auto"/>
          <w:sz w:val="24"/>
          <w:highlight w:val="none"/>
          <w:u w:val="single"/>
        </w:rPr>
        <w:t>、浙江泛亚工程咨询有限公司</w:t>
      </w:r>
      <w:r>
        <w:rPr>
          <w:rFonts w:hint="eastAsia" w:ascii="仿宋_GB2312" w:hAnsi="宋体" w:eastAsia="仿宋_GB2312"/>
          <w:color w:val="auto"/>
          <w:sz w:val="24"/>
          <w:highlight w:val="none"/>
        </w:rPr>
        <w:t>组织的</w:t>
      </w:r>
      <w:r>
        <w:rPr>
          <w:rFonts w:hint="eastAsia" w:ascii="仿宋_GB2312" w:hAnsi="宋体" w:eastAsia="仿宋_GB2312"/>
          <w:color w:val="auto"/>
          <w:sz w:val="24"/>
          <w:highlight w:val="none"/>
          <w:u w:val="single"/>
        </w:rPr>
        <w:t xml:space="preserve">     项目</w:t>
      </w:r>
      <w:r>
        <w:rPr>
          <w:rFonts w:hint="eastAsia" w:ascii="仿宋_GB2312" w:hAnsi="宋体" w:eastAsia="仿宋_GB2312"/>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投标人（电子签章）：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法定代表人（签字或盖章）：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ind w:firstLine="5280" w:firstLineChars="2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p>
      <w:pPr>
        <w:ind w:firstLine="4920" w:firstLineChars="2050"/>
        <w:jc w:val="left"/>
        <w:rPr>
          <w:rFonts w:ascii="仿宋_GB2312" w:hAnsi="宋体" w:eastAsia="仿宋_GB2312"/>
          <w:color w:val="auto"/>
          <w:sz w:val="24"/>
          <w:highlight w:val="none"/>
        </w:rPr>
      </w:pP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24"/>
          <w:highlight w:val="none"/>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法定代表人授权委托书（格式） </w:t>
      </w:r>
      <w:r>
        <w:rPr>
          <w:rFonts w:hint="eastAsia" w:ascii="仿宋_GB2312" w:hAnsi="仿宋" w:eastAsia="仿宋_GB2312" w:cs="仿宋_GB2312"/>
          <w:b/>
          <w:color w:val="auto"/>
          <w:kern w:val="0"/>
          <w:sz w:val="32"/>
          <w:szCs w:val="32"/>
          <w:highlight w:val="none"/>
          <w:lang w:val="zh-CN"/>
        </w:rPr>
        <w:t>（适用于联合体投标）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w:t>
      </w: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的（填写姓名）为我方授权代表，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。以我方的名义参加</w:t>
      </w:r>
      <w:r>
        <w:rPr>
          <w:rFonts w:hint="eastAsia" w:ascii="仿宋_GB2312" w:hAnsi="宋体" w:eastAsia="仿宋_GB2312"/>
          <w:color w:val="auto"/>
          <w:sz w:val="24"/>
          <w:highlight w:val="none"/>
          <w:u w:val="single"/>
          <w:lang w:eastAsia="zh-CN"/>
        </w:rPr>
        <w:t>绍兴市口腔医院</w:t>
      </w:r>
      <w:r>
        <w:rPr>
          <w:rFonts w:hint="eastAsia" w:ascii="仿宋_GB2312" w:hAnsi="宋体" w:eastAsia="仿宋_GB2312"/>
          <w:color w:val="auto"/>
          <w:sz w:val="24"/>
          <w:highlight w:val="none"/>
          <w:u w:val="single"/>
        </w:rPr>
        <w:t>、浙江泛亚工程咨询有限公司</w:t>
      </w:r>
      <w:r>
        <w:rPr>
          <w:rFonts w:hint="eastAsia" w:ascii="仿宋_GB2312" w:hAnsi="宋体" w:eastAsia="仿宋_GB2312"/>
          <w:color w:val="auto"/>
          <w:sz w:val="24"/>
          <w:highlight w:val="none"/>
        </w:rPr>
        <w:t>组织的</w:t>
      </w:r>
      <w:r>
        <w:rPr>
          <w:rFonts w:hint="eastAsia" w:ascii="仿宋_GB2312" w:hAnsi="宋体" w:eastAsia="仿宋_GB2312"/>
          <w:color w:val="auto"/>
          <w:sz w:val="24"/>
          <w:highlight w:val="none"/>
          <w:u w:val="single"/>
        </w:rPr>
        <w:t xml:space="preserve">     项目</w:t>
      </w:r>
      <w:r>
        <w:rPr>
          <w:rFonts w:hint="eastAsia" w:ascii="仿宋_GB2312" w:hAnsi="宋体" w:eastAsia="仿宋_GB2312"/>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jc w:val="center"/>
        <w:rPr>
          <w:rFonts w:ascii="仿宋_GB2312" w:hAnsi="仿宋" w:eastAsia="仿宋_GB2312" w:cs="仿宋_GB2312"/>
          <w:b/>
          <w:color w:val="auto"/>
          <w:kern w:val="0"/>
          <w:sz w:val="32"/>
          <w:szCs w:val="32"/>
          <w:highlight w:val="none"/>
        </w:rPr>
      </w:pPr>
    </w:p>
    <w:p>
      <w:pPr>
        <w:rPr>
          <w:color w:val="auto"/>
          <w:highlight w:val="none"/>
        </w:rPr>
      </w:pP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800" w:lineRule="exact"/>
        <w:rPr>
          <w:rFonts w:ascii="仿宋_GB2312" w:hAnsi="宋体" w:eastAsia="仿宋_GB2312"/>
          <w:b/>
          <w:color w:val="auto"/>
          <w:sz w:val="24"/>
          <w:highlight w:val="none"/>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出具距投标截止时间一个月以内的社保机构盖公章的授权代表社保缴纳证明（如授权代表为</w:t>
      </w:r>
      <w:r>
        <w:rPr>
          <w:rFonts w:ascii="仿宋_GB2312" w:hAnsi="宋体" w:eastAsia="仿宋_GB2312"/>
          <w:color w:val="auto"/>
          <w:sz w:val="24"/>
          <w:highlight w:val="none"/>
          <w:u w:val="wave"/>
        </w:rPr>
        <w:t>离退休返聘人员的，投标响应文件技术部分内</w:t>
      </w:r>
      <w:r>
        <w:rPr>
          <w:rFonts w:hint="eastAsia" w:ascii="仿宋_GB2312" w:hAnsi="宋体" w:eastAsia="仿宋_GB2312"/>
          <w:color w:val="auto"/>
          <w:sz w:val="24"/>
          <w:highlight w:val="none"/>
          <w:u w:val="wave"/>
        </w:rPr>
        <w:t>需提供</w:t>
      </w:r>
      <w:r>
        <w:rPr>
          <w:rFonts w:ascii="仿宋_GB2312" w:hAnsi="宋体" w:eastAsia="仿宋_GB2312"/>
          <w:color w:val="auto"/>
          <w:sz w:val="24"/>
          <w:highlight w:val="none"/>
          <w:u w:val="wave"/>
        </w:rPr>
        <w:t>退休证明及单位聘用证明</w:t>
      </w:r>
      <w:r>
        <w:rPr>
          <w:rFonts w:hint="eastAsia" w:ascii="仿宋_GB2312" w:hAnsi="宋体" w:eastAsia="仿宋_GB2312"/>
          <w:color w:val="auto"/>
          <w:sz w:val="24"/>
          <w:highlight w:val="none"/>
          <w:u w:val="wave"/>
        </w:rPr>
        <w:t>；如由第三方代理社保事项的，则需提供委托代理协议复印件），格式自拟。</w:t>
      </w:r>
      <w:r>
        <w:rPr>
          <w:rFonts w:ascii="仿宋_GB2312" w:hAnsi="宋体" w:eastAsia="仿宋_GB2312"/>
          <w:b/>
          <w:color w:val="auto"/>
          <w:sz w:val="24"/>
          <w:highlight w:val="none"/>
        </w:rPr>
        <w:t>未提供</w:t>
      </w:r>
      <w:r>
        <w:rPr>
          <w:rFonts w:hint="eastAsia" w:ascii="仿宋_GB2312" w:hAnsi="宋体" w:eastAsia="仿宋_GB2312"/>
          <w:b/>
          <w:color w:val="auto"/>
          <w:sz w:val="24"/>
          <w:highlight w:val="none"/>
        </w:rPr>
        <w:t>上述</w:t>
      </w:r>
      <w:r>
        <w:rPr>
          <w:rFonts w:ascii="仿宋_GB2312" w:hAnsi="宋体" w:eastAsia="仿宋_GB2312"/>
          <w:b/>
          <w:color w:val="auto"/>
          <w:sz w:val="24"/>
          <w:highlight w:val="none"/>
        </w:rPr>
        <w:t>证明的投标</w:t>
      </w:r>
      <w:r>
        <w:rPr>
          <w:rFonts w:hint="eastAsia" w:ascii="仿宋_GB2312" w:hAnsi="宋体" w:eastAsia="仿宋_GB2312"/>
          <w:b/>
          <w:color w:val="auto"/>
          <w:sz w:val="24"/>
          <w:highlight w:val="none"/>
        </w:rPr>
        <w:t>做无效投标处理</w:t>
      </w:r>
      <w:r>
        <w:rPr>
          <w:rFonts w:ascii="仿宋_GB2312" w:hAnsi="宋体" w:eastAsia="仿宋_GB2312"/>
          <w:b/>
          <w:color w:val="auto"/>
          <w:sz w:val="24"/>
          <w:highlight w:val="none"/>
        </w:rPr>
        <w:t>。</w:t>
      </w:r>
    </w:p>
    <w:p>
      <w:pPr>
        <w:spacing w:line="800" w:lineRule="exact"/>
        <w:ind w:firstLine="4320" w:firstLineChars="1800"/>
        <w:rPr>
          <w:rFonts w:ascii="仿宋_GB2312" w:hAnsi="宋体" w:eastAsia="仿宋_GB2312"/>
          <w:color w:val="auto"/>
          <w:sz w:val="24"/>
          <w:highlight w:val="none"/>
        </w:rPr>
      </w:pPr>
    </w:p>
    <w:p>
      <w:pPr>
        <w:spacing w:line="800" w:lineRule="exact"/>
        <w:ind w:firstLine="4337" w:firstLineChars="1800"/>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3、法定代表人及其授权代表身份证复印件（正反面）</w:t>
      </w: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4、法定代表人身份证明书(格式)</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 标 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地    址：</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姓    名：</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身份证号码：</w:t>
      </w:r>
    </w:p>
    <w:p>
      <w:pPr>
        <w:spacing w:line="440" w:lineRule="exact"/>
        <w:ind w:right="281" w:rightChars="134"/>
        <w:rPr>
          <w:rFonts w:ascii="仿宋_GB2312" w:hAnsi="宋体" w:eastAsia="仿宋_GB2312"/>
          <w:color w:val="auto"/>
          <w:sz w:val="24"/>
          <w:highlight w:val="none"/>
        </w:rPr>
      </w:pPr>
      <w:r>
        <w:rPr>
          <w:rFonts w:hint="eastAsia" w:ascii="仿宋_GB2312" w:hAnsi="宋体" w:eastAsia="仿宋_GB2312"/>
          <w:color w:val="auto"/>
          <w:sz w:val="24"/>
          <w:highlight w:val="none"/>
        </w:rPr>
        <w:t>职   务：</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（填写投标人名称）</w:t>
      </w:r>
      <w:r>
        <w:rPr>
          <w:rFonts w:hint="eastAsia" w:ascii="仿宋_GB2312" w:hAnsi="宋体" w:eastAsia="仿宋_GB2312"/>
          <w:color w:val="auto"/>
          <w:sz w:val="24"/>
          <w:highlight w:val="none"/>
        </w:rPr>
        <w:t>的法定代表人。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特此证明。</w:t>
      </w: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                             （电子签章）</w:t>
      </w:r>
    </w:p>
    <w:p>
      <w:pPr>
        <w:spacing w:line="440" w:lineRule="exact"/>
        <w:ind w:right="480"/>
        <w:rPr>
          <w:rFonts w:ascii="仿宋_GB2312" w:hAnsi="宋体" w:eastAsia="仿宋_GB2312"/>
          <w:color w:val="auto"/>
          <w:sz w:val="24"/>
          <w:highlight w:val="none"/>
        </w:rPr>
      </w:pPr>
    </w:p>
    <w:p>
      <w:pPr>
        <w:spacing w:line="440" w:lineRule="exact"/>
        <w:ind w:right="720"/>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年   月   日</w:t>
      </w:r>
    </w:p>
    <w:p>
      <w:pPr>
        <w:pageBreakBefore/>
        <w:spacing w:after="240" w:afterLines="100"/>
        <w:rPr>
          <w:rFonts w:ascii="仿宋_GB2312" w:hAnsi="仿宋_GB2312" w:eastAsia="仿宋_GB2312" w:cs="仿宋_GB2312"/>
          <w:b/>
          <w:color w:val="auto"/>
          <w:kern w:val="0"/>
          <w:sz w:val="32"/>
          <w:szCs w:val="32"/>
          <w:highlight w:val="none"/>
        </w:rPr>
      </w:pPr>
      <w:r>
        <w:rPr>
          <w:rFonts w:hint="eastAsia" w:ascii="仿宋_GB2312" w:hAnsi="宋体" w:eastAsia="仿宋_GB2312"/>
          <w:b/>
          <w:color w:val="auto"/>
          <w:sz w:val="30"/>
          <w:szCs w:val="30"/>
          <w:highlight w:val="none"/>
        </w:rPr>
        <w:t>5、资格审查有关的书面承诺函</w:t>
      </w:r>
    </w:p>
    <w:p>
      <w:pPr>
        <w:snapToGrid w:val="0"/>
        <w:spacing w:line="440" w:lineRule="exact"/>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lang w:eastAsia="zh-CN"/>
        </w:rPr>
        <w:t>绍兴市口腔医院</w:t>
      </w:r>
      <w:r>
        <w:rPr>
          <w:rFonts w:hint="eastAsia" w:ascii="仿宋_GB2312" w:hAnsi="仿宋_GB2312" w:eastAsia="仿宋_GB2312" w:cs="仿宋_GB2312"/>
          <w:color w:val="auto"/>
          <w:sz w:val="24"/>
          <w:highlight w:val="none"/>
        </w:rPr>
        <w:t>、浙江泛亚工程咨询有限公司</w:t>
      </w:r>
      <w:r>
        <w:rPr>
          <w:rFonts w:hint="eastAsia" w:ascii="仿宋_GB2312" w:hAnsi="仿宋_GB2312" w:eastAsia="仿宋_GB2312" w:cs="仿宋_GB2312"/>
          <w:color w:val="auto"/>
          <w:kern w:val="0"/>
          <w:sz w:val="24"/>
          <w:highlight w:val="none"/>
          <w:lang w:val="zh-CN"/>
        </w:rPr>
        <w:t>：</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我方郑重承诺，已具有</w:t>
      </w:r>
      <w:r>
        <w:rPr>
          <w:rFonts w:hint="eastAsia" w:ascii="仿宋_GB2312" w:hAnsi="仿宋_GB2312" w:eastAsia="仿宋_GB2312" w:cs="仿宋_GB2312"/>
          <w:color w:val="auto"/>
          <w:sz w:val="24"/>
          <w:highlight w:val="none"/>
          <w:lang w:eastAsia="zh-CN"/>
        </w:rPr>
        <w:t>绍兴市口腔医院关于影像归档和通信系统建设项目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ZJFY-20230013</w:t>
      </w:r>
      <w:r>
        <w:rPr>
          <w:rFonts w:hint="eastAsia" w:ascii="仿宋_GB2312" w:hAnsi="仿宋_GB2312" w:eastAsia="仿宋_GB2312" w:cs="仿宋_GB2312"/>
          <w:color w:val="auto"/>
          <w:sz w:val="24"/>
          <w:highlight w:val="none"/>
        </w:rPr>
        <w:t>）招标文件中关于申请人资格要求的下列条件：</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1、符合《中华人民共和国政府采购法》第二十二条的规定：</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_GB2312" w:eastAsia="仿宋_GB2312" w:cs="仿宋_GB2312"/>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color w:val="auto"/>
          <w:sz w:val="24"/>
          <w:highlight w:val="none"/>
        </w:rPr>
        <w:t xml:space="preserve"> </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(二）具有良好的商业信誉和健全的财务会计制度;</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(三）具有履行合同所必需的设备和专业技术能力;</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(四）有依法缴纳税收和社会保障资金的良好记录;</w:t>
      </w:r>
    </w:p>
    <w:p>
      <w:pPr>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 w:eastAsia="仿宋_GB2312" w:cs="仿宋_GB2312"/>
          <w:color w:val="auto"/>
          <w:sz w:val="24"/>
          <w:highlight w:val="none"/>
        </w:rPr>
        <w:t>(五）参加政府采购活动前三年内，在经营活动中没有重大违法记录;</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color w:val="auto"/>
          <w:kern w:val="0"/>
          <w:sz w:val="24"/>
          <w:highlight w:val="none"/>
          <w:lang w:val="zh-CN"/>
        </w:rPr>
        <w:t>我公司</w:t>
      </w:r>
      <w:r>
        <w:rPr>
          <w:rFonts w:hint="eastAsia" w:ascii="仿宋_GB2312" w:hAnsi="仿宋_GB2312" w:eastAsia="仿宋_GB2312" w:cs="仿宋_GB2312"/>
          <w:color w:val="auto"/>
          <w:sz w:val="24"/>
          <w:highlight w:val="none"/>
        </w:rPr>
        <w:t>声明参加本次政府采购活动前三年内未</w:t>
      </w:r>
      <w:r>
        <w:rPr>
          <w:rFonts w:hint="eastAsia" w:ascii="仿宋_GB2312" w:hAnsi="仿宋_GB2312" w:eastAsia="仿宋_GB2312" w:cs="仿宋_GB2312"/>
          <w:color w:val="auto"/>
          <w:sz w:val="24"/>
          <w:szCs w:val="20"/>
          <w:highlight w:val="none"/>
        </w:rPr>
        <w:t>被列入“黑名单”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snapToGrid w:val="0"/>
        <w:spacing w:line="360" w:lineRule="auto"/>
        <w:rPr>
          <w:rFonts w:ascii="仿宋_GB2312" w:hAnsi="仿宋_GB2312" w:eastAsia="仿宋_GB2312" w:cs="仿宋_GB2312"/>
          <w:b/>
          <w:color w:val="auto"/>
          <w:sz w:val="30"/>
          <w:szCs w:val="30"/>
          <w:highlight w:val="none"/>
        </w:rPr>
      </w:pPr>
    </w:p>
    <w:p>
      <w:pPr>
        <w:pageBreakBefore/>
        <w:spacing w:line="360"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（由投标人根据招标公告合格的投标人应具备的特定资格要求编制）</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7、投标人售后服务能力证明材料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8、</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pStyle w:val="204"/>
        <w:pageBreakBefore/>
        <w:ind w:firstLine="0"/>
        <w:jc w:val="both"/>
        <w:rPr>
          <w:rFonts w:hAnsi="仿宋_GB2312" w:cs="仿宋_GB2312"/>
          <w:color w:val="auto"/>
          <w:highlight w:val="none"/>
        </w:rPr>
      </w:pPr>
      <w:r>
        <w:rPr>
          <w:rFonts w:hint="eastAsia" w:hAnsi="仿宋_GB2312" w:cs="仿宋_GB2312"/>
          <w:color w:val="auto"/>
          <w:highlight w:val="none"/>
        </w:rPr>
        <w:t>9、廉政承诺书</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lang w:eastAsia="zh-CN"/>
        </w:rPr>
        <w:t>绍兴市口腔医院</w:t>
      </w:r>
      <w:r>
        <w:rPr>
          <w:rFonts w:hint="eastAsia"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10、技术解决方案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2.2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11、技术偏离说明表</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招标文件技术要求</w:t>
            </w:r>
          </w:p>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bl>
    <w:p>
      <w:pPr>
        <w:tabs>
          <w:tab w:val="left" w:pos="570"/>
        </w:tabs>
        <w:spacing w:line="440" w:lineRule="exact"/>
        <w:ind w:firstLine="120" w:firstLineChars="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注：1.此表须与</w:t>
      </w:r>
      <w:r>
        <w:rPr>
          <w:rFonts w:hint="eastAsia" w:ascii="仿宋_GB2312" w:hAnsi="宋体" w:eastAsia="仿宋_GB2312"/>
          <w:color w:val="auto"/>
          <w:kern w:val="0"/>
          <w:sz w:val="24"/>
          <w:highlight w:val="none"/>
        </w:rPr>
        <w:t>招标文件“</w:t>
      </w:r>
      <w:r>
        <w:rPr>
          <w:rFonts w:hint="eastAsia" w:ascii="仿宋_GB2312" w:hAnsi="宋体" w:eastAsia="仿宋_GB2312"/>
          <w:color w:val="auto"/>
          <w:sz w:val="24"/>
          <w:highlight w:val="none"/>
        </w:rPr>
        <w:t>招标项目说明及要求</w:t>
      </w:r>
      <w:r>
        <w:rPr>
          <w:rFonts w:hint="eastAsia" w:ascii="仿宋_GB2312" w:hAnsi="宋体" w:eastAsia="仿宋_GB2312"/>
          <w:color w:val="auto"/>
          <w:kern w:val="0"/>
          <w:sz w:val="24"/>
          <w:highlight w:val="none"/>
        </w:rPr>
        <w:t>”</w:t>
      </w:r>
      <w:r>
        <w:rPr>
          <w:rFonts w:hint="eastAsia" w:ascii="仿宋_GB2312" w:hAnsi="宋体" w:eastAsia="仿宋_GB2312"/>
          <w:color w:val="auto"/>
          <w:sz w:val="24"/>
          <w:highlight w:val="none"/>
        </w:rPr>
        <w:t>相应标项内的所有技术规格相比较且一一对应</w:t>
      </w:r>
      <w:r>
        <w:rPr>
          <w:rFonts w:hint="eastAsia" w:ascii="仿宋_GB2312" w:hAnsi="宋体" w:eastAsia="仿宋_GB2312" w:cs="宋体"/>
          <w:color w:val="auto"/>
          <w:sz w:val="24"/>
          <w:highlight w:val="none"/>
        </w:rPr>
        <w:t>真实逐条</w:t>
      </w:r>
      <w:r>
        <w:rPr>
          <w:rFonts w:hint="eastAsia" w:ascii="仿宋_GB2312" w:hAnsi="宋体" w:eastAsia="仿宋_GB2312"/>
          <w:color w:val="auto"/>
          <w:sz w:val="24"/>
          <w:highlight w:val="none"/>
        </w:rPr>
        <w:t>填列。</w:t>
      </w:r>
    </w:p>
    <w:p>
      <w:pPr>
        <w:tabs>
          <w:tab w:val="left" w:pos="570"/>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s="宋体"/>
          <w:color w:val="auto"/>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13、售后服务方案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14、项目小组人员名单</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15、</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16、</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napToGrid w:val="0"/>
        <w:spacing w:line="360" w:lineRule="auto"/>
        <w:ind w:right="1440"/>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17、</w:t>
      </w:r>
      <w:r>
        <w:rPr>
          <w:rFonts w:hint="eastAsia" w:ascii="仿宋_GB2312" w:hAnsi="仿宋_GB2312" w:eastAsia="仿宋_GB2312" w:cs="仿宋_GB2312"/>
          <w:b/>
          <w:color w:val="auto"/>
          <w:kern w:val="0"/>
          <w:sz w:val="32"/>
          <w:szCs w:val="32"/>
          <w:highlight w:val="none"/>
          <w:lang w:val="zh-CN"/>
        </w:rPr>
        <w:t>培训计划</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18、验收方案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19、认为需要的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lang w:val="zh-CN"/>
        </w:rPr>
        <w:t>日</w:t>
      </w: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hint="eastAsia" w:ascii="仿宋_GB2312" w:hAnsi="仿宋_GB2312" w:eastAsia="仿宋_GB2312" w:cs="仿宋_GB2312"/>
          <w:b/>
          <w:color w:val="auto"/>
          <w:kern w:val="0"/>
          <w:sz w:val="32"/>
          <w:szCs w:val="32"/>
          <w:highlight w:val="none"/>
          <w:lang w:val="zh-CN"/>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rPr>
        <w:t>提供的全部货物由小微企业制造，其合同份额占到合同总金额</w:t>
      </w:r>
      <w:r>
        <w:rPr>
          <w:rFonts w:ascii="仿宋_GB2312" w:hAnsi="仿宋" w:eastAsia="仿宋_GB2312" w:cs="仿宋_GB2312"/>
          <w:color w:val="auto"/>
          <w:kern w:val="0"/>
          <w:sz w:val="24"/>
          <w:highlight w:val="none"/>
        </w:rPr>
        <w:t>%以上；</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color w:val="auto"/>
          <w:kern w:val="0"/>
          <w:sz w:val="24"/>
          <w:highlight w:val="none"/>
          <w:lang w:val="zh-CN"/>
        </w:rPr>
        <w:t xml:space="preserve"> 30%以上</w:t>
      </w:r>
      <w:r>
        <w:rPr>
          <w:rFonts w:hint="eastAsia" w:ascii="仿宋_GB2312" w:hAnsi="仿宋" w:eastAsia="仿宋_GB2312" w:cs="仿宋_GB2312"/>
          <w:b/>
          <w:color w:val="auto"/>
          <w:kern w:val="0"/>
          <w:sz w:val="24"/>
          <w:highlight w:val="none"/>
          <w:lang w:val="zh-CN"/>
        </w:rPr>
        <w:t>，对联合体报价给予6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须提供</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中小企业声明函</w:t>
      </w: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zh-CN"/>
        </w:rPr>
        <w:t>电子签章</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576"/>
        <w:rPr>
          <w:color w:val="auto"/>
          <w:highlight w:val="none"/>
        </w:rPr>
      </w:pPr>
      <w:r>
        <w:rPr>
          <w:rFonts w:hint="eastAsia" w:cs="仿宋_GB2312"/>
          <w:color w:val="auto"/>
          <w:kern w:val="0"/>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u w:val="single"/>
        </w:rPr>
        <w:t>（分包供应商名称）提供的货物全部由小微企业制造，</w:t>
      </w:r>
      <w:r>
        <w:rPr>
          <w:rFonts w:hint="eastAsia" w:ascii="仿宋_GB2312" w:hAnsi="仿宋" w:eastAsia="仿宋_GB2312" w:cs="仿宋_GB2312"/>
          <w:color w:val="auto"/>
          <w:kern w:val="0"/>
          <w:sz w:val="24"/>
          <w:highlight w:val="none"/>
        </w:rPr>
        <w:t>其合同份额占到合同总金额</w:t>
      </w:r>
      <w:r>
        <w:rPr>
          <w:rFonts w:ascii="仿宋_GB2312" w:hAnsi="仿宋" w:eastAsia="仿宋_GB2312" w:cs="仿宋_GB2312"/>
          <w:color w:val="auto"/>
          <w:kern w:val="0"/>
          <w:sz w:val="24"/>
          <w:highlight w:val="none"/>
        </w:rPr>
        <w:t>%以上</w:t>
      </w:r>
      <w:r>
        <w:rPr>
          <w:rFonts w:hint="eastAsia" w:ascii="仿宋_GB2312" w:hAnsi="仿宋" w:eastAsia="仿宋_GB2312"/>
          <w:color w:val="auto"/>
          <w:highlight w:val="none"/>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color w:val="auto"/>
          <w:kern w:val="0"/>
          <w:sz w:val="24"/>
          <w:highlight w:val="none"/>
          <w:lang w:val="zh-CN"/>
        </w:rPr>
        <w:t>30%以上</w:t>
      </w:r>
      <w:r>
        <w:rPr>
          <w:rFonts w:hint="eastAsia" w:ascii="仿宋_GB2312" w:hAnsi="仿宋" w:eastAsia="仿宋_GB2312" w:cs="仿宋_GB2312"/>
          <w:b/>
          <w:color w:val="auto"/>
          <w:kern w:val="0"/>
          <w:sz w:val="24"/>
          <w:highlight w:val="none"/>
          <w:lang w:val="zh-CN"/>
        </w:rPr>
        <w:t>的，对大中型企业的报价给予6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投标人名称(</w:t>
      </w:r>
      <w:r>
        <w:rPr>
          <w:rFonts w:hint="eastAsia" w:ascii="仿宋_GB2312" w:hAnsi="仿宋_GB2312" w:eastAsia="仿宋_GB2312" w:cs="仿宋_GB2312"/>
          <w:color w:val="auto"/>
          <w:kern w:val="0"/>
          <w:sz w:val="24"/>
          <w:highlight w:val="none"/>
          <w:lang w:val="zh-CN"/>
        </w:rPr>
        <w:t>电子签章</w:t>
      </w:r>
      <w:r>
        <w:rPr>
          <w:rFonts w:ascii="仿宋_GB2312" w:hAnsi="仿宋" w:eastAsia="仿宋_GB2312" w:cs="仿宋_GB2312"/>
          <w:color w:val="auto"/>
          <w:kern w:val="0"/>
          <w:sz w:val="24"/>
          <w:highlight w:val="none"/>
          <w:lang w:val="zh-CN"/>
        </w:rPr>
        <w:t>)：</w:t>
      </w:r>
    </w:p>
    <w:p>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22、落实政府采购政策需满足的资格要求</w:t>
      </w:r>
    </w:p>
    <w:p>
      <w:pPr>
        <w:spacing w:line="440" w:lineRule="exact"/>
        <w:rPr>
          <w:rFonts w:ascii="仿宋_GB2312" w:hAnsi="仿宋" w:eastAsia="仿宋_GB2312"/>
          <w:b/>
          <w:color w:val="auto"/>
          <w:sz w:val="24"/>
          <w:highlight w:val="none"/>
        </w:rPr>
      </w:pPr>
      <w:r>
        <w:rPr>
          <w:rFonts w:hint="eastAsia" w:ascii="仿宋_GB2312" w:hAnsi="仿宋" w:eastAsia="仿宋_GB2312" w:cs="仿宋_GB2312"/>
          <w:b/>
          <w:color w:val="auto"/>
          <w:sz w:val="24"/>
          <w:highlight w:val="none"/>
        </w:rPr>
        <w:t>（根据招标公告</w:t>
      </w:r>
      <w:r>
        <w:rPr>
          <w:rFonts w:hint="eastAsia" w:ascii="仿宋_GB2312" w:hAnsi="仿宋" w:eastAsia="仿宋_GB2312"/>
          <w:b/>
          <w:color w:val="auto"/>
          <w:sz w:val="24"/>
          <w:highlight w:val="none"/>
        </w:rPr>
        <w:t>落实政府采购政策需满足的资格要求选择提供相应的材料；未要求的，无需提供</w:t>
      </w:r>
      <w:r>
        <w:rPr>
          <w:rFonts w:hint="eastAsia" w:ascii="仿宋_GB2312" w:hAnsi="仿宋" w:eastAsia="仿宋_GB2312" w:cs="仿宋_GB2312"/>
          <w:b/>
          <w:color w:val="auto"/>
          <w:sz w:val="24"/>
          <w:highlight w:val="none"/>
        </w:rPr>
        <w:t>）</w:t>
      </w:r>
    </w:p>
    <w:p>
      <w:pPr>
        <w:snapToGrid w:val="0"/>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A</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w:t>
      </w:r>
    </w:p>
    <w:p>
      <w:pPr>
        <w:widowControl/>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B.</w:t>
      </w:r>
      <w:r>
        <w:rPr>
          <w:rFonts w:hint="eastAsia" w:ascii="仿宋_GB2312" w:hAnsi="仿宋" w:eastAsia="仿宋_GB2312" w:cs="仿宋_GB2312"/>
          <w:color w:val="auto"/>
          <w:sz w:val="24"/>
          <w:highlight w:val="none"/>
        </w:rPr>
        <w:t>要求以联合体形式参加的，提供联合协议和</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lang w:val="zh-CN"/>
        </w:rPr>
        <w:t>联合协议</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(电子签名/公章)：</w:t>
      </w:r>
    </w:p>
    <w:p>
      <w:pPr>
        <w:snapToGrid w:val="0"/>
        <w:spacing w:line="360" w:lineRule="auto"/>
        <w:ind w:firstLine="5760" w:firstLineChars="2400"/>
        <w:jc w:val="center"/>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pageBreakBefore/>
        <w:spacing w:line="360" w:lineRule="auto"/>
        <w:ind w:firstLine="482" w:firstLineChars="200"/>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sz w:val="24"/>
          <w:highlight w:val="none"/>
        </w:rPr>
        <w:t>C、</w:t>
      </w:r>
      <w:r>
        <w:rPr>
          <w:rFonts w:hint="eastAsia" w:ascii="仿宋_GB2312" w:hAnsi="仿宋" w:eastAsia="仿宋_GB2312" w:cs="仿宋_GB2312"/>
          <w:color w:val="auto"/>
          <w:sz w:val="24"/>
          <w:highlight w:val="none"/>
        </w:rPr>
        <w:t>要求合同分包的，提供分包意向协议和</w:t>
      </w:r>
      <w:r>
        <w:rPr>
          <w:rFonts w:hint="eastAsia" w:ascii="仿宋_GB2312" w:hAnsi="仿宋" w:eastAsia="仿宋_GB2312" w:cs="仿宋_GB2312"/>
          <w:b/>
          <w:color w:val="auto"/>
          <w:sz w:val="24"/>
          <w:highlight w:val="none"/>
        </w:rPr>
        <w:t>中小企业声明函（附件）</w:t>
      </w:r>
      <w:r>
        <w:rPr>
          <w:rFonts w:hint="eastAsia" w:ascii="仿宋_GB2312" w:hAnsi="仿宋" w:eastAsia="仿宋_GB2312" w:cs="仿宋_GB2312"/>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w:t>
      </w:r>
      <w:r>
        <w:rPr>
          <w:rFonts w:hint="eastAsia" w:ascii="仿宋_GB2312" w:hAnsi="仿宋" w:eastAsia="仿宋_GB2312" w:cs="仿宋_GB2312"/>
          <w:color w:val="auto"/>
          <w:kern w:val="0"/>
          <w:sz w:val="24"/>
          <w:highlight w:val="none"/>
          <w:lang w:val="zh-CN"/>
        </w:rPr>
        <w:t>应商名称），具备承担</w:t>
      </w:r>
      <w:r>
        <w:rPr>
          <w:rFonts w:ascii="仿宋_GB2312" w:hAnsi="仿宋" w:eastAsia="仿宋_GB2312" w:cs="仿宋_GB2312"/>
          <w:color w:val="auto"/>
          <w:kern w:val="0"/>
          <w:sz w:val="24"/>
          <w:highlight w:val="non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color w:val="auto"/>
          <w:kern w:val="0"/>
          <w:sz w:val="24"/>
          <w:highlight w:val="none"/>
          <w:lang w:val="zh-CN"/>
        </w:rPr>
      </w:pP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rPr>
        <w:t>%</w:t>
      </w:r>
      <w:r>
        <w:rPr>
          <w:rFonts w:ascii="仿宋_GB2312" w:hAnsi="仿宋" w:eastAsia="仿宋_GB2312" w:cs="仿宋_GB2312"/>
          <w:color w:val="auto"/>
          <w:kern w:val="0"/>
          <w:sz w:val="24"/>
          <w:highlight w:val="none"/>
          <w:lang w:val="zh-CN"/>
        </w:rPr>
        <w:t xml:space="preserve">  。                                         投标人名称(电子签名)：</w:t>
      </w:r>
    </w:p>
    <w:p>
      <w:pPr>
        <w:snapToGrid w:val="0"/>
        <w:spacing w:line="360" w:lineRule="auto"/>
        <w:ind w:firstLine="5880" w:firstLineChars="24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ind w:firstLine="6000" w:firstLineChars="2500"/>
        <w:rPr>
          <w:color w:val="auto"/>
          <w:highlight w:val="none"/>
        </w:rPr>
      </w:pPr>
      <w:r>
        <w:rPr>
          <w:rFonts w:hint="eastAsia" w:ascii="仿宋_GB2312" w:hAnsi="仿宋" w:eastAsia="仿宋_GB2312" w:cs="仿宋_GB2312"/>
          <w:color w:val="auto"/>
          <w:kern w:val="0"/>
          <w:sz w:val="24"/>
          <w:highlight w:val="none"/>
          <w:lang w:val="zh-CN"/>
        </w:rPr>
        <w:t>……</w:t>
      </w:r>
    </w:p>
    <w:p>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ascii="仿宋" w:hAnsi="仿宋" w:eastAsia="仿宋" w:cs="仿宋_GB2312"/>
          <w:color w:val="auto"/>
          <w:sz w:val="24"/>
          <w:highlight w:val="none"/>
          <w:u w:val="single"/>
        </w:rPr>
      </w:pPr>
    </w:p>
    <w:p>
      <w:pPr>
        <w:spacing w:line="360" w:lineRule="auto"/>
        <w:rPr>
          <w:rFonts w:ascii="仿宋" w:hAnsi="仿宋" w:eastAsia="仿宋"/>
          <w:color w:val="auto"/>
          <w:sz w:val="24"/>
          <w:highlight w:val="none"/>
        </w:rPr>
      </w:pPr>
      <w:r>
        <w:rPr>
          <w:rFonts w:hint="eastAsia" w:ascii="仿宋" w:hAnsi="仿宋" w:eastAsia="仿宋" w:cs="仿宋_GB2312"/>
          <w:color w:val="auto"/>
          <w:sz w:val="24"/>
          <w:highlight w:val="none"/>
          <w:u w:val="single"/>
        </w:rPr>
        <w:t>（采购人）、（采购代理机构）</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sz w:val="24"/>
          <w:highlight w:val="none"/>
        </w:rPr>
        <w:t>(投标人全称)</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w:t>
      </w:r>
      <w:r>
        <w:rPr>
          <w:rFonts w:hint="eastAsia" w:ascii="仿宋_GB2312" w:hAnsi="仿宋" w:eastAsia="仿宋_GB2312" w:cs="仿宋_GB2312"/>
          <w:color w:val="auto"/>
          <w:sz w:val="24"/>
          <w:highlight w:val="none"/>
        </w:rPr>
        <w:t>（项目名称）项目</w:t>
      </w:r>
      <w:r>
        <w:rPr>
          <w:rFonts w:hint="eastAsia" w:ascii="仿宋" w:hAnsi="仿宋" w:eastAsia="仿宋" w:cs="仿宋_GB2312"/>
          <w:color w:val="auto"/>
          <w:sz w:val="24"/>
          <w:highlight w:val="none"/>
        </w:rPr>
        <w:t>【招标编号：（采购编号）</w:t>
      </w:r>
      <w:r>
        <w:rPr>
          <w:rFonts w:ascii="仿宋" w:hAnsi="仿宋" w:eastAsia="仿宋" w:cs="仿宋_GB2312"/>
          <w:color w:val="auto"/>
          <w:sz w:val="24"/>
          <w:highlight w:val="none"/>
        </w:rPr>
        <w:t>】</w:t>
      </w:r>
      <w:r>
        <w:rPr>
          <w:rFonts w:hint="eastAsia" w:ascii="仿宋" w:hAnsi="仿宋" w:eastAsia="仿宋" w:cs="宋体"/>
          <w:bCs/>
          <w:color w:val="auto"/>
          <w:sz w:val="24"/>
          <w:highlight w:val="none"/>
        </w:rPr>
        <w:t>投标活动中作如下说明：</w:t>
      </w:r>
      <w:r>
        <w:rPr>
          <w:rFonts w:hint="eastAsia" w:ascii="仿宋" w:hAnsi="仿宋" w:eastAsia="仿宋" w:cs="宋体"/>
          <w:color w:val="auto"/>
          <w:sz w:val="24"/>
          <w:highlight w:val="none"/>
        </w:rPr>
        <w:t>我方所使用的“</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专用章”与法定名称章具有同等的法律效力，对使用“</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专用章”的行为予以完全承认，并愿意承担相应责任。</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投标单位（法定名称章）：</w:t>
      </w:r>
    </w:p>
    <w:p>
      <w:pPr>
        <w:ind w:right="1440" w:firstLine="494"/>
        <w:jc w:val="center"/>
        <w:rPr>
          <w:rFonts w:ascii="仿宋" w:hAnsi="仿宋" w:eastAsia="仿宋" w:cs="宋体"/>
          <w:color w:val="auto"/>
          <w:sz w:val="24"/>
          <w:highlight w:val="none"/>
        </w:rPr>
      </w:pPr>
      <w:r>
        <w:rPr>
          <w:rFonts w:ascii="仿宋" w:hAnsi="仿宋" w:eastAsia="仿宋" w:cs="宋体"/>
          <w:color w:val="auto"/>
          <w:sz w:val="24"/>
          <w:highlight w:val="none"/>
        </w:rPr>
        <w:t xml:space="preserve">                              日期：      年     月    日</w:t>
      </w:r>
    </w:p>
    <w:p>
      <w:pPr>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pPr>
        <w:spacing w:line="360" w:lineRule="auto"/>
        <w:rPr>
          <w:rFonts w:ascii="仿宋" w:hAnsi="仿宋" w:eastAsia="仿宋"/>
          <w:bCs/>
          <w:color w:val="auto"/>
          <w:sz w:val="24"/>
          <w:highlight w:val="none"/>
        </w:rPr>
      </w:pPr>
      <w:r>
        <w:rPr>
          <w:rFonts w:ascii="仿宋" w:hAnsi="仿宋"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color w:val="auto"/>
          <w:sz w:val="24"/>
          <w:highlight w:val="none"/>
        </w:rPr>
        <w:t>投标单位法定名称章（印模）投标单位“</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专用章”（印模）</w:t>
      </w: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pageBreakBefore/>
        <w:jc w:val="center"/>
        <w:rPr>
          <w:rFonts w:ascii="仿宋_GB2312" w:eastAsia="仿宋_GB2312"/>
          <w:b/>
          <w:color w:val="auto"/>
          <w:sz w:val="32"/>
          <w:szCs w:val="32"/>
          <w:highlight w:val="none"/>
        </w:rPr>
      </w:pPr>
      <w:r>
        <w:rPr>
          <w:rFonts w:hint="eastAsia" w:ascii="仿宋_GB2312" w:eastAsia="仿宋_GB2312"/>
          <w:b/>
          <w:color w:val="auto"/>
          <w:sz w:val="32"/>
          <w:szCs w:val="32"/>
          <w:highlight w:val="none"/>
        </w:rPr>
        <w:t>中小企业声明函</w:t>
      </w:r>
    </w:p>
    <w:p>
      <w:pPr>
        <w:rPr>
          <w:rFonts w:ascii="仿宋_GB2312" w:hAnsi="仿宋_GB2312" w:eastAsia="仿宋_GB2312" w:cs="仿宋_GB2312"/>
          <w:b/>
          <w:color w:val="auto"/>
          <w:sz w:val="32"/>
          <w:szCs w:val="32"/>
          <w:highlight w:val="none"/>
        </w:rPr>
      </w:pPr>
      <w:r>
        <w:rPr>
          <w:rFonts w:hint="eastAsia" w:ascii="仿宋_GB2312" w:hAnsi="仿宋" w:eastAsia="仿宋_GB2312" w:cs="仿宋_GB2312"/>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highlight w:val="none"/>
        </w:rPr>
        <w:t>。</w:t>
      </w:r>
      <w:r>
        <w:rPr>
          <w:rFonts w:hint="eastAsia" w:ascii="仿宋_GB2312" w:hAnsi="仿宋" w:eastAsia="仿宋_GB2312" w:cs="仿宋_GB2312"/>
          <w:b/>
          <w:color w:val="auto"/>
          <w:sz w:val="24"/>
          <w:highlight w:val="none"/>
        </w:rPr>
        <w:t>]</w:t>
      </w: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32"/>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p>
    <w:p>
      <w:pPr>
        <w:pageBreakBefore/>
        <w:spacing w:line="588" w:lineRule="exact"/>
        <w:jc w:val="center"/>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color w:val="auto"/>
          <w:sz w:val="24"/>
          <w:highlight w:val="none"/>
          <w:u w:val="single"/>
        </w:rPr>
        <w:t xml:space="preserve">                 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 w:eastAsia="仿宋_GB2312"/>
          <w:color w:val="auto"/>
          <w:sz w:val="24"/>
          <w:highlight w:val="none"/>
        </w:rPr>
        <w:t>根据《财政部 民政部 中国残疾人联合会关于促进残疾人就业政府采购政策的通知》（财库〔2017〕141号）规定填报。</w:t>
      </w:r>
    </w:p>
    <w:p>
      <w:pPr>
        <w:rPr>
          <w:rFonts w:ascii="仿宋_GB2312" w:eastAsia="仿宋_GB2312"/>
          <w:color w:val="auto"/>
          <w:highlight w:val="none"/>
        </w:rPr>
      </w:pPr>
    </w:p>
    <w:p>
      <w:pPr>
        <w:tabs>
          <w:tab w:val="left" w:pos="4860"/>
        </w:tabs>
        <w:ind w:right="1559" w:firstLine="480" w:firstLineChars="200"/>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object>
          <v:shape id="_x0000_i1027"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400" w:lineRule="exact"/>
        <w:rPr>
          <w:rFonts w:ascii="仿宋_GB2312" w:hAnsi="宋体" w:eastAsia="仿宋_GB2312"/>
          <w:b/>
          <w:color w:val="auto"/>
          <w:sz w:val="24"/>
          <w:highlight w:val="none"/>
        </w:rPr>
      </w:pPr>
      <w:r>
        <w:rPr>
          <w:rFonts w:ascii="仿宋_GB2312" w:hAnsi="宋体" w:eastAsia="仿宋_GB2312"/>
          <w:b/>
          <w:color w:val="auto"/>
          <w:sz w:val="24"/>
          <w:highlight w:val="none"/>
        </w:rPr>
        <w:t>注</w:t>
      </w:r>
      <w:r>
        <w:rPr>
          <w:rFonts w:hint="eastAsia" w:ascii="仿宋_GB2312" w:hAnsi="宋体" w:eastAsia="仿宋_GB2312"/>
          <w:b/>
          <w:color w:val="auto"/>
          <w:sz w:val="24"/>
          <w:highlight w:val="none"/>
        </w:rPr>
        <w:t>：</w:t>
      </w:r>
      <w:r>
        <w:rPr>
          <w:rFonts w:hint="eastAsia" w:ascii="仿宋_GB2312" w:hAnsi="仿宋_GB2312" w:eastAsia="仿宋_GB2312" w:cs="仿宋_GB2312"/>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highlight w:val="none"/>
        </w:rPr>
      </w:pP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ascii="仿宋" w:hAnsi="仿宋" w:eastAsia="仿宋" w:cs="仿宋"/>
          <w:color w:val="auto"/>
          <w:sz w:val="32"/>
          <w:szCs w:val="32"/>
          <w:highlight w:val="none"/>
          <w:u w:val="dotted"/>
        </w:rPr>
      </w:pP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ascii="宋体" w:hAnsi="宋体" w:cs="宋体"/>
          <w:color w:val="auto"/>
          <w:kern w:val="0"/>
          <w:szCs w:val="21"/>
          <w:highlight w:val="none"/>
        </w:rPr>
        <w:t>国家统计局  </w:t>
      </w:r>
    </w:p>
    <w:p>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ascii="宋体" w:hAnsi="宋体" w:cs="宋体"/>
          <w:color w:val="auto"/>
          <w:kern w:val="0"/>
          <w:szCs w:val="21"/>
          <w:highlight w:val="none"/>
        </w:rPr>
        <w:t>2017年12月28日</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default" w:ascii="Times New Roman" w:hAnsi="Times New Roman" w:cs="Times New Roman"/>
          <w:color w:val="auto"/>
          <w:kern w:val="0"/>
          <w:szCs w:val="21"/>
          <w:highlight w:val="none"/>
        </w:rPr>
      </w:pPr>
      <w:r>
        <w:rPr>
          <w:rFonts w:ascii="宋体" w:hAnsi="宋体" w:cs="宋体"/>
          <w:color w:val="auto"/>
          <w:kern w:val="0"/>
          <w:szCs w:val="21"/>
          <w:highlight w:val="none"/>
        </w:rPr>
        <w:t>六、本办法自印发之日起执行，国家统计局2011年印发的《统计上大中小微型企业划分办法》（国统字〔2011〕75号）同时</w:t>
      </w:r>
      <w:r>
        <w:rPr>
          <w:rFonts w:hint="default" w:ascii="Times New Roman" w:hAnsi="Times New Roman" w:cs="Times New Roman"/>
          <w:color w:val="auto"/>
          <w:kern w:val="0"/>
          <w:szCs w:val="21"/>
          <w:highlight w:val="none"/>
        </w:rPr>
        <w:t>废止。</w:t>
      </w:r>
    </w:p>
    <w:p>
      <w:pPr>
        <w:widowControl/>
        <w:shd w:val="clear" w:color="auto" w:fill="FFFFFF"/>
        <w:spacing w:before="150"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附表：统计上大中小微型企业划分标准</w:t>
      </w:r>
    </w:p>
    <w:p>
      <w:pPr>
        <w:widowControl/>
        <w:jc w:val="left"/>
        <w:rPr>
          <w:rFonts w:hint="default" w:ascii="Times New Roman" w:hAnsi="Times New Roman" w:cs="Times New Roman"/>
          <w:color w:val="auto"/>
          <w:kern w:val="0"/>
          <w:sz w:val="24"/>
          <w:highlight w:val="none"/>
        </w:rPr>
      </w:pPr>
    </w:p>
    <w:p>
      <w:pPr>
        <w:widowControl/>
        <w:jc w:val="left"/>
        <w:rPr>
          <w:rFonts w:hint="default" w:ascii="Times New Roman" w:hAnsi="Times New Roman" w:cs="Times New Roman"/>
          <w:color w:val="auto"/>
          <w:kern w:val="0"/>
          <w:sz w:val="24"/>
          <w:highlight w:val="none"/>
        </w:rPr>
      </w:pPr>
    </w:p>
    <w:p>
      <w:pPr>
        <w:widowControl/>
        <w:shd w:val="clear" w:color="auto" w:fill="FFFFFF"/>
        <w:spacing w:before="150" w:line="600" w:lineRule="atLeast"/>
        <w:jc w:val="center"/>
        <w:textAlignment w:val="baseline"/>
        <w:rPr>
          <w:rFonts w:hint="default" w:ascii="Times New Roman" w:hAnsi="Times New Roman" w:cs="Times New Roman"/>
          <w:b/>
          <w:bCs/>
          <w:color w:val="auto"/>
          <w:kern w:val="0"/>
          <w:sz w:val="36"/>
          <w:szCs w:val="36"/>
          <w:highlight w:val="none"/>
        </w:rPr>
      </w:pPr>
      <w:r>
        <w:rPr>
          <w:rFonts w:hint="default" w:ascii="Times New Roman" w:hAnsi="Times New Roman" w:cs="Times New Roman"/>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农、林、牧、渔业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Y≥20000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500≤Y＜20000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50≤Y＜500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工业 *</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300≤X＜1000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20≤X＜300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Y≥40000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2000≤Y＜40000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300≤Y＜2000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建筑业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Y≥80000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6000≤Y＜80000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300≤Y＜6000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资产总额(Z)</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Z≥80000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5000≤Z＜80000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300≤Z＜5000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批发业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X≥200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20≤X＜200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5≤X＜20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Y≥40000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5000≤Y＜40000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1000≤Y＜5000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零售业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X≥300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50≤X＜300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10≤X＜50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Y≥20000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500≤Y＜20000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100≤Y＜500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交通运输业 *</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300≤X＜1000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20≤X＜300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Y≥30000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3000≤Y＜30000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200≤Y＜3000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仓储业*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X≥200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100≤X＜200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20≤X＜100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Y≥30000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1000≤Y＜30000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100≤Y＜1000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邮政业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300≤X＜1000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20≤X＜300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Y≥30000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2000≤Y＜30000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100≤Y＜2000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住宿业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X≥300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100≤X＜300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10≤X＜100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2000≤Y＜10000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100≤Y＜2000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餐饮业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X≥300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100≤X＜300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10≤X＜100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2000≤Y＜10000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100≤Y＜2000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信息传输业 *</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X≥2000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100≤X＜2000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10≤X＜100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1000≤Y＜100000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100≤Y＜1000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软件和信息技术服务业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X≥300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100≤X＜300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10≤X＜100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1000≤Y＜10000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50≤Y＜1000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房地产开发经营</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Y≥200000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1000≤Y＜200000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100≤Y＜1000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资产总额(Z)</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Z≥10000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5000≤Z＜10000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2000≤Z＜5000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物业管理</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300≤X＜1000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100≤X＜300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营业收入(Y)</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Y≥5000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1000≤Y＜5000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500≤Y＜1000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租赁和商务服务业</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X≥300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100≤X＜300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10≤X＜100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default" w:ascii="Times New Roman" w:hAnsi="Times New Roman" w:cs="Times New Roman"/>
                <w:color w:val="auto"/>
                <w:kern w:val="0"/>
                <w:sz w:val="24"/>
                <w:highlight w:val="none"/>
              </w:rPr>
            </w:pP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资产总额(Z)</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万元</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Z≥120000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8000≤Z＜120000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100≤Z＜8000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其他未列明行业 *</w:t>
            </w:r>
          </w:p>
        </w:tc>
        <w:tc>
          <w:tcPr>
            <w:tcW w:w="156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从业人员(X)</w:t>
            </w:r>
          </w:p>
        </w:tc>
        <w:tc>
          <w:tcPr>
            <w:tcW w:w="67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人</w:t>
            </w:r>
          </w:p>
        </w:tc>
        <w:tc>
          <w:tcPr>
            <w:tcW w:w="123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X≥300</w:t>
            </w:r>
          </w:p>
        </w:tc>
        <w:tc>
          <w:tcPr>
            <w:tcW w:w="1891"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100≤X＜300</w:t>
            </w:r>
          </w:p>
        </w:tc>
        <w:tc>
          <w:tcPr>
            <w:tcW w:w="1730"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10≤X＜100</w:t>
            </w:r>
          </w:p>
        </w:tc>
        <w:tc>
          <w:tcPr>
            <w:tcW w:w="1203"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X＜10</w:t>
            </w:r>
          </w:p>
        </w:tc>
      </w:tr>
    </w:tbl>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说明：　　</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3.企业划分指标以现行统计制度为准。</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（3）资产总额，采用资产总计代替。</w:t>
      </w:r>
    </w:p>
    <w:p>
      <w:pPr>
        <w:widowControl/>
        <w:jc w:val="left"/>
        <w:rPr>
          <w:rFonts w:hint="default" w:ascii="Times New Roman" w:hAnsi="Times New Roman" w:cs="Times New Roman"/>
          <w:color w:val="auto"/>
          <w:kern w:val="0"/>
          <w:sz w:val="24"/>
          <w:highlight w:val="none"/>
        </w:rPr>
      </w:pPr>
    </w:p>
    <w:p>
      <w:pPr>
        <w:widowControl/>
        <w:jc w:val="left"/>
        <w:rPr>
          <w:rFonts w:hint="default" w:ascii="Times New Roman" w:hAnsi="Times New Roman" w:cs="Times New Roman"/>
          <w:color w:val="auto"/>
          <w:kern w:val="0"/>
          <w:sz w:val="24"/>
          <w:highlight w:val="none"/>
        </w:rPr>
      </w:pPr>
    </w:p>
    <w:p>
      <w:pPr>
        <w:widowControl/>
        <w:shd w:val="clear" w:color="auto" w:fill="FFFFFF"/>
        <w:spacing w:before="150" w:line="600" w:lineRule="atLeast"/>
        <w:jc w:val="center"/>
        <w:textAlignment w:val="baseline"/>
        <w:rPr>
          <w:rFonts w:hint="default" w:ascii="Times New Roman" w:hAnsi="Times New Roman" w:cs="Times New Roman"/>
          <w:b/>
          <w:bCs/>
          <w:color w:val="auto"/>
          <w:kern w:val="0"/>
          <w:sz w:val="36"/>
          <w:szCs w:val="36"/>
          <w:highlight w:val="none"/>
        </w:rPr>
      </w:pPr>
      <w:r>
        <w:rPr>
          <w:rFonts w:hint="default" w:ascii="Times New Roman" w:hAnsi="Times New Roman" w:cs="Times New Roman"/>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default" w:ascii="Times New Roman" w:hAnsi="Times New Roman" w:cs="Times New Roman"/>
          <w:b/>
          <w:bCs/>
          <w:color w:val="auto"/>
          <w:kern w:val="0"/>
          <w:sz w:val="27"/>
          <w:szCs w:val="27"/>
          <w:highlight w:val="none"/>
        </w:rPr>
      </w:pPr>
      <w:r>
        <w:rPr>
          <w:rFonts w:hint="default" w:ascii="Times New Roman" w:hAnsi="Times New Roman" w:cs="Times New Roman"/>
          <w:b/>
          <w:bCs/>
          <w:color w:val="auto"/>
          <w:kern w:val="0"/>
          <w:sz w:val="27"/>
          <w:szCs w:val="27"/>
          <w:highlight w:val="none"/>
        </w:rPr>
        <w:t>一、修订背景</w:t>
      </w:r>
    </w:p>
    <w:p>
      <w:pPr>
        <w:widowControl/>
        <w:shd w:val="clear" w:color="auto" w:fill="FFFFFF"/>
        <w:spacing w:before="150"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default" w:ascii="Times New Roman" w:hAnsi="Times New Roman" w:cs="Times New Roman"/>
          <w:b/>
          <w:bCs/>
          <w:color w:val="auto"/>
          <w:kern w:val="0"/>
          <w:sz w:val="27"/>
          <w:szCs w:val="27"/>
          <w:highlight w:val="none"/>
        </w:rPr>
      </w:pPr>
      <w:r>
        <w:rPr>
          <w:rFonts w:hint="default" w:ascii="Times New Roman" w:hAnsi="Times New Roman" w:cs="Times New Roman"/>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default" w:ascii="Times New Roman" w:hAnsi="Times New Roman" w:cs="Times New Roman"/>
          <w:color w:val="auto"/>
          <w:kern w:val="0"/>
          <w:sz w:val="18"/>
          <w:szCs w:val="18"/>
          <w:highlight w:val="none"/>
        </w:rPr>
      </w:pPr>
    </w:p>
    <w:p>
      <w:pPr>
        <w:widowControl/>
        <w:jc w:val="left"/>
        <w:rPr>
          <w:rFonts w:hint="default" w:ascii="Times New Roman" w:hAnsi="Times New Roman" w:cs="Times New Roman"/>
          <w:color w:val="auto"/>
          <w:kern w:val="0"/>
          <w:sz w:val="18"/>
          <w:szCs w:val="18"/>
          <w:highlight w:val="none"/>
        </w:rPr>
      </w:pPr>
    </w:p>
    <w:p>
      <w:pPr>
        <w:widowControl/>
        <w:jc w:val="left"/>
        <w:rPr>
          <w:rFonts w:hint="default" w:ascii="Times New Roman" w:hAnsi="Times New Roman" w:cs="Times New Roman"/>
          <w:color w:val="auto"/>
          <w:kern w:val="0"/>
          <w:sz w:val="18"/>
          <w:szCs w:val="18"/>
          <w:highlight w:val="none"/>
        </w:rPr>
      </w:pPr>
    </w:p>
    <w:p>
      <w:pPr>
        <w:widowControl/>
        <w:shd w:val="clear" w:color="auto" w:fill="FFFFFF"/>
        <w:spacing w:line="600" w:lineRule="atLeast"/>
        <w:jc w:val="center"/>
        <w:textAlignment w:val="baseline"/>
        <w:rPr>
          <w:rFonts w:hint="default" w:ascii="Times New Roman" w:hAnsi="Times New Roman" w:cs="Times New Roman"/>
          <w:b/>
          <w:bCs/>
          <w:color w:val="auto"/>
          <w:kern w:val="0"/>
          <w:sz w:val="36"/>
          <w:szCs w:val="36"/>
          <w:highlight w:val="none"/>
        </w:rPr>
      </w:pPr>
      <w:r>
        <w:rPr>
          <w:rFonts w:hint="default" w:ascii="Times New Roman" w:hAnsi="Times New Roman" w:cs="Times New Roman"/>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default" w:ascii="Times New Roman" w:hAnsi="Times New Roman" w:cs="Times New Roman"/>
          <w:b/>
          <w:bCs/>
          <w:color w:val="auto"/>
          <w:kern w:val="0"/>
          <w:sz w:val="36"/>
          <w:szCs w:val="36"/>
          <w:highlight w:val="none"/>
        </w:rPr>
      </w:pPr>
      <w:r>
        <w:rPr>
          <w:rFonts w:hint="default" w:ascii="Times New Roman" w:hAnsi="Times New Roman" w:cs="Times New Roman"/>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default" w:ascii="Times New Roman" w:hAnsi="Times New Roman" w:cs="Times New Roman"/>
          <w:b/>
          <w:bCs/>
          <w:color w:val="auto"/>
          <w:kern w:val="0"/>
          <w:sz w:val="36"/>
          <w:szCs w:val="36"/>
          <w:highlight w:val="none"/>
        </w:rPr>
      </w:pPr>
      <w:r>
        <w:rPr>
          <w:rFonts w:hint="default" w:ascii="Times New Roman" w:hAnsi="Times New Roman" w:cs="Times New Roman"/>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default" w:ascii="Times New Roman" w:hAnsi="Times New Roman" w:cs="Times New Roman"/>
          <w:b/>
          <w:bCs/>
          <w:color w:val="auto"/>
          <w:kern w:val="0"/>
          <w:sz w:val="36"/>
          <w:szCs w:val="36"/>
          <w:highlight w:val="none"/>
        </w:rPr>
      </w:pPr>
      <w:r>
        <w:rPr>
          <w:rFonts w:hint="default" w:ascii="Times New Roman" w:hAnsi="Times New Roman" w:cs="Times New Roman"/>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二、适用范围。本规定适用于从事《国民经济行业分类》(GB/T4754-2011)中J门类（金融业）活动的企业。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附：金融业企业划型标准</w:t>
      </w:r>
    </w:p>
    <w:p>
      <w:pPr>
        <w:widowControl/>
        <w:shd w:val="clear" w:color="auto" w:fill="FFFFFF"/>
        <w:spacing w:before="150" w:line="600" w:lineRule="atLeast"/>
        <w:jc w:val="center"/>
        <w:textAlignment w:val="baseline"/>
        <w:rPr>
          <w:rFonts w:hint="default" w:ascii="Times New Roman" w:hAnsi="Times New Roman" w:cs="Times New Roman"/>
          <w:b/>
          <w:bCs/>
          <w:color w:val="auto"/>
          <w:kern w:val="0"/>
          <w:sz w:val="36"/>
          <w:szCs w:val="36"/>
          <w:highlight w:val="none"/>
        </w:rPr>
      </w:pPr>
      <w:r>
        <w:rPr>
          <w:rFonts w:hint="default" w:ascii="Times New Roman" w:hAnsi="Times New Roman" w:cs="Times New Roman"/>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货币金融服务</w:t>
            </w:r>
          </w:p>
        </w:tc>
        <w:tc>
          <w:tcPr>
            <w:tcW w:w="1025"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货币银行服务</w:t>
            </w:r>
          </w:p>
        </w:tc>
        <w:tc>
          <w:tcPr>
            <w:tcW w:w="2836"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银行业存款类金融机构</w:t>
            </w: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小型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微型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非货币银行服务</w:t>
            </w:r>
          </w:p>
        </w:tc>
        <w:tc>
          <w:tcPr>
            <w:tcW w:w="2836"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银行业非存款类金融机构</w:t>
            </w: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小型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微型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贷款公司、小额贷款公司及典当行</w:t>
            </w: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小型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微型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资本市场服务</w:t>
            </w:r>
          </w:p>
        </w:tc>
        <w:tc>
          <w:tcPr>
            <w:tcW w:w="2836"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证券业金融机构</w:t>
            </w: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小型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微型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保险业</w:t>
            </w:r>
          </w:p>
        </w:tc>
        <w:tc>
          <w:tcPr>
            <w:tcW w:w="2836"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保险业金融机构</w:t>
            </w: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小型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微型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其他金融业</w:t>
            </w:r>
          </w:p>
        </w:tc>
        <w:tc>
          <w:tcPr>
            <w:tcW w:w="1025"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金融信托与管理服务</w:t>
            </w:r>
          </w:p>
        </w:tc>
        <w:tc>
          <w:tcPr>
            <w:tcW w:w="2836"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信托公司</w:t>
            </w: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小型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微型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控股公司服务</w:t>
            </w:r>
          </w:p>
        </w:tc>
        <w:tc>
          <w:tcPr>
            <w:tcW w:w="2836"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金融控股公司</w:t>
            </w: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小型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微型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其他未包括的金融业</w:t>
            </w:r>
          </w:p>
        </w:tc>
        <w:tc>
          <w:tcPr>
            <w:tcW w:w="2836" w:type="dxa"/>
            <w:vMerge w:val="restart"/>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除贷款公司、小额贷款公司及典当行以外的其他金融机构</w:t>
            </w: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中型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小型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default" w:ascii="Times New Roman" w:hAnsi="Times New Roman" w:cs="Times New Roman"/>
                <w:color w:val="auto"/>
                <w:kern w:val="0"/>
                <w:sz w:val="24"/>
                <w:highlight w:val="none"/>
              </w:rPr>
            </w:pPr>
          </w:p>
        </w:tc>
        <w:tc>
          <w:tcPr>
            <w:tcW w:w="1025" w:type="dxa"/>
            <w:vMerge w:val="continue"/>
            <w:vAlign w:val="center"/>
          </w:tcPr>
          <w:p>
            <w:pPr>
              <w:widowControl/>
              <w:jc w:val="left"/>
              <w:rPr>
                <w:rFonts w:hint="default" w:ascii="Times New Roman" w:hAnsi="Times New Roman" w:cs="Times New Roman"/>
                <w:color w:val="auto"/>
                <w:kern w:val="0"/>
                <w:sz w:val="24"/>
                <w:highlight w:val="none"/>
              </w:rPr>
            </w:pPr>
          </w:p>
        </w:tc>
        <w:tc>
          <w:tcPr>
            <w:tcW w:w="2836" w:type="dxa"/>
            <w:vMerge w:val="continue"/>
            <w:vAlign w:val="center"/>
          </w:tcPr>
          <w:p>
            <w:pPr>
              <w:widowControl/>
              <w:jc w:val="left"/>
              <w:rPr>
                <w:rFonts w:hint="default" w:ascii="Times New Roman" w:hAnsi="Times New Roman" w:cs="Times New Roman"/>
                <w:color w:val="auto"/>
                <w:kern w:val="0"/>
                <w:sz w:val="24"/>
                <w:highlight w:val="none"/>
              </w:rPr>
            </w:pPr>
          </w:p>
        </w:tc>
        <w:tc>
          <w:tcPr>
            <w:tcW w:w="60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微型</w:t>
            </w:r>
          </w:p>
        </w:tc>
        <w:tc>
          <w:tcPr>
            <w:tcW w:w="3326" w:type="dxa"/>
            <w:vAlign w:val="center"/>
          </w:tcPr>
          <w:p>
            <w:pPr>
              <w:widowControl/>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50亿元以下</w:t>
            </w:r>
          </w:p>
        </w:tc>
      </w:tr>
    </w:tbl>
    <w:p>
      <w:pPr>
        <w:rPr>
          <w:rFonts w:hint="default" w:ascii="Times New Roman" w:hAnsi="Times New Roman" w:eastAsia="仿宋_GB2312" w:cs="Times New Roman"/>
          <w:color w:val="auto"/>
          <w:sz w:val="24"/>
          <w:highlight w:val="none"/>
        </w:rPr>
      </w:pPr>
    </w:p>
    <w:p>
      <w:pPr>
        <w:ind w:firstLine="420" w:firstLineChars="200"/>
        <w:rPr>
          <w:rFonts w:ascii="仿宋_GB2312" w:eastAsia="仿宋_GB2312"/>
          <w:color w:val="auto"/>
          <w:highlight w:val="none"/>
        </w:rPr>
      </w:pPr>
    </w:p>
    <w:p>
      <w:pPr>
        <w:spacing w:line="360" w:lineRule="auto"/>
        <w:rPr>
          <w:rFonts w:ascii="仿宋_GB2312" w:hAnsi="仿宋_GB2312" w:eastAsia="仿宋_GB2312" w:cs="仿宋_GB2312"/>
          <w:color w:val="auto"/>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00" w:usb3="00000000" w:csb0="003E0000"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华文细黑">
    <w:altName w:val="微软雅黑"/>
    <w:panose1 w:val="02010600040101010101"/>
    <w:charset w:val="86"/>
    <w:family w:val="auto"/>
    <w:pitch w:val="default"/>
    <w:sig w:usb0="00000000" w:usb1="00000000" w:usb2="00000010" w:usb3="00000000" w:csb0="0004009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504020202020204"/>
    <w:charset w:val="00"/>
    <w:family w:val="swiss"/>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ascii="仿宋" w:hAnsi="仿宋" w:eastAsia="仿宋" w:cs="仿宋"/>
      </w:rPr>
      <w:t xml:space="preserve"> 招标编号:</w:t>
    </w:r>
    <w:r>
      <w:rPr>
        <w:rFonts w:hint="eastAsia" w:ascii="仿宋" w:hAnsi="仿宋" w:eastAsia="仿宋" w:cs="仿宋"/>
        <w:lang w:val="en-US" w:eastAsia="zh-CN"/>
      </w:rPr>
      <w:t>ZJFY-20230013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ascii="仿宋" w:hAnsi="仿宋" w:eastAsia="仿宋" w:cs="仿宋"/>
      </w:rPr>
    </w:pPr>
    <w:r>
      <w:rPr>
        <w:rFonts w:hint="eastAsia" w:ascii="仿宋" w:hAnsi="仿宋" w:eastAsia="仿宋" w:cs="仿宋"/>
      </w:rPr>
      <w:t xml:space="preserve">浙江泛亚工程咨询有限公司招标文件                                       招标编号: </w:t>
    </w:r>
    <w:r>
      <w:rPr>
        <w:rFonts w:hint="eastAsia" w:ascii="仿宋" w:hAnsi="仿宋" w:eastAsia="仿宋" w:cs="仿宋"/>
        <w:lang w:eastAsia="zh-CN"/>
      </w:rPr>
      <w:t>ZJFY-20230013</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隶书" w:eastAsia="隶书"/>
        <w:b/>
        <w:sz w:val="28"/>
        <w:szCs w:val="28"/>
      </w:rP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浙江泛亚工程咨询有限公司                                       招标文件招标编号:</w:t>
    </w:r>
    <w:r>
      <w:t xml:space="preserve"> </w:t>
    </w:r>
    <w:r>
      <w:rPr>
        <w:rFonts w:hint="eastAsia"/>
        <w:lang w:eastAsia="zh-CN"/>
      </w:rPr>
      <w:t>ZJFY-20230013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17AAE2"/>
    <w:multiLevelType w:val="multilevel"/>
    <w:tmpl w:val="8717AAE2"/>
    <w:lvl w:ilvl="0" w:tentative="0">
      <w:start w:val="1"/>
      <w:numFmt w:val="decimal"/>
      <w:lvlText w:val="(%1)"/>
      <w:lvlJc w:val="left"/>
      <w:pPr>
        <w:ind w:left="845" w:hanging="420"/>
      </w:pPr>
      <w:rPr>
        <w:rFonts w:hint="default"/>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298316C"/>
    <w:multiLevelType w:val="singleLevel"/>
    <w:tmpl w:val="0298316C"/>
    <w:lvl w:ilvl="0" w:tentative="0">
      <w:start w:val="6"/>
      <w:numFmt w:val="decimal"/>
      <w:suff w:val="nothing"/>
      <w:lvlText w:val="%1、"/>
      <w:lvlJc w:val="left"/>
    </w:lvl>
  </w:abstractNum>
  <w:abstractNum w:abstractNumId="5">
    <w:nsid w:val="0D2B6E76"/>
    <w:multiLevelType w:val="multilevel"/>
    <w:tmpl w:val="0D2B6E76"/>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10E319FC"/>
    <w:multiLevelType w:val="multilevel"/>
    <w:tmpl w:val="10E319FC"/>
    <w:lvl w:ilvl="0" w:tentative="0">
      <w:start w:val="1"/>
      <w:numFmt w:val="decimal"/>
      <w:lvlText w:val="(%1)"/>
      <w:lvlJc w:val="left"/>
      <w:pPr>
        <w:ind w:left="845" w:hanging="420"/>
      </w:pPr>
      <w:rPr>
        <w:rFonts w:hint="default"/>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7">
    <w:nsid w:val="194D441E"/>
    <w:multiLevelType w:val="multilevel"/>
    <w:tmpl w:val="194D441E"/>
    <w:lvl w:ilvl="0" w:tentative="0">
      <w:start w:val="1"/>
      <w:numFmt w:val="decimal"/>
      <w:lvlText w:val="(%1)"/>
      <w:lvlJc w:val="left"/>
      <w:pPr>
        <w:ind w:left="845" w:hanging="420"/>
      </w:pPr>
      <w:rPr>
        <w:rFonts w:hint="default"/>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8">
    <w:nsid w:val="1C4D6477"/>
    <w:multiLevelType w:val="multilevel"/>
    <w:tmpl w:val="1C4D6477"/>
    <w:lvl w:ilvl="0" w:tentative="0">
      <w:start w:val="1"/>
      <w:numFmt w:val="decimal"/>
      <w:lvlText w:val="(%1)"/>
      <w:lvlJc w:val="left"/>
      <w:pPr>
        <w:ind w:left="845" w:hanging="420"/>
      </w:pPr>
      <w:rPr>
        <w:rFonts w:hint="default"/>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9">
    <w:nsid w:val="3FBF30C7"/>
    <w:multiLevelType w:val="multilevel"/>
    <w:tmpl w:val="3FBF30C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858214A"/>
    <w:multiLevelType w:val="multilevel"/>
    <w:tmpl w:val="4858214A"/>
    <w:lvl w:ilvl="0" w:tentative="0">
      <w:start w:val="1"/>
      <w:numFmt w:val="decimal"/>
      <w:lvlText w:val="(%1)"/>
      <w:lvlJc w:val="left"/>
      <w:pPr>
        <w:ind w:left="845" w:hanging="420"/>
      </w:pPr>
      <w:rPr>
        <w:rFonts w:hint="default"/>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1">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1B82CED"/>
    <w:multiLevelType w:val="multilevel"/>
    <w:tmpl w:val="61B82CED"/>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62B04029"/>
    <w:multiLevelType w:val="multilevel"/>
    <w:tmpl w:val="62B04029"/>
    <w:lvl w:ilvl="0" w:tentative="0">
      <w:start w:val="1"/>
      <w:numFmt w:val="decimal"/>
      <w:lvlText w:val="(%1)"/>
      <w:lvlJc w:val="left"/>
      <w:pPr>
        <w:ind w:left="845" w:hanging="420"/>
      </w:pPr>
      <w:rPr>
        <w:rFonts w:hint="default"/>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4">
    <w:nsid w:val="678E7002"/>
    <w:multiLevelType w:val="multilevel"/>
    <w:tmpl w:val="678E7002"/>
    <w:lvl w:ilvl="0" w:tentative="0">
      <w:start w:val="1"/>
      <w:numFmt w:val="decimal"/>
      <w:lvlText w:val="(%1)"/>
      <w:lvlJc w:val="left"/>
      <w:pPr>
        <w:ind w:left="845" w:hanging="420"/>
      </w:pPr>
      <w:rPr>
        <w:rFonts w:hint="default"/>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6">
    <w:nsid w:val="6F8769EF"/>
    <w:multiLevelType w:val="multilevel"/>
    <w:tmpl w:val="6F8769E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70C6328B"/>
    <w:multiLevelType w:val="multilevel"/>
    <w:tmpl w:val="70C6328B"/>
    <w:lvl w:ilvl="0" w:tentative="0">
      <w:start w:val="1"/>
      <w:numFmt w:val="decimal"/>
      <w:lvlText w:val="(%1)"/>
      <w:lvlJc w:val="left"/>
      <w:pPr>
        <w:ind w:left="845" w:hanging="420"/>
      </w:pPr>
      <w:rPr>
        <w:rFonts w:hint="default"/>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79660508"/>
    <w:multiLevelType w:val="multilevel"/>
    <w:tmpl w:val="79660508"/>
    <w:lvl w:ilvl="0" w:tentative="0">
      <w:start w:val="1"/>
      <w:numFmt w:val="decimal"/>
      <w:lvlText w:val="(%1)"/>
      <w:lvlJc w:val="left"/>
      <w:pPr>
        <w:ind w:left="845" w:hanging="420"/>
      </w:pPr>
      <w:rPr>
        <w:rFonts w:hint="default"/>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20">
    <w:nsid w:val="7F250A9A"/>
    <w:multiLevelType w:val="multilevel"/>
    <w:tmpl w:val="7F250A9A"/>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1"/>
  </w:num>
  <w:num w:numId="2">
    <w:abstractNumId w:val="2"/>
  </w:num>
  <w:num w:numId="3">
    <w:abstractNumId w:val="1"/>
  </w:num>
  <w:num w:numId="4">
    <w:abstractNumId w:val="15"/>
  </w:num>
  <w:num w:numId="5">
    <w:abstractNumId w:val="18"/>
  </w:num>
  <w:num w:numId="6">
    <w:abstractNumId w:val="14"/>
  </w:num>
  <w:num w:numId="7">
    <w:abstractNumId w:val="6"/>
  </w:num>
  <w:num w:numId="8">
    <w:abstractNumId w:val="20"/>
  </w:num>
  <w:num w:numId="9">
    <w:abstractNumId w:val="17"/>
  </w:num>
  <w:num w:numId="10">
    <w:abstractNumId w:val="13"/>
  </w:num>
  <w:num w:numId="11">
    <w:abstractNumId w:val="7"/>
  </w:num>
  <w:num w:numId="12">
    <w:abstractNumId w:val="19"/>
  </w:num>
  <w:num w:numId="13">
    <w:abstractNumId w:val="16"/>
  </w:num>
  <w:num w:numId="14">
    <w:abstractNumId w:val="5"/>
  </w:num>
  <w:num w:numId="15">
    <w:abstractNumId w:val="9"/>
  </w:num>
  <w:num w:numId="16">
    <w:abstractNumId w:val="12"/>
  </w:num>
  <w:num w:numId="17">
    <w:abstractNumId w:val="8"/>
  </w:num>
  <w:num w:numId="18">
    <w:abstractNumId w:val="10"/>
  </w:num>
  <w:num w:numId="19">
    <w:abstractNumId w:val="4"/>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RjNmViNjA5NWUxOGE3YjVmMjE3ZjJhYTM5NWVlMmI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C35F3"/>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6ED7"/>
    <w:rsid w:val="001D76A1"/>
    <w:rsid w:val="001E3B20"/>
    <w:rsid w:val="001E4A9F"/>
    <w:rsid w:val="001F0FA9"/>
    <w:rsid w:val="001F14C4"/>
    <w:rsid w:val="001F2767"/>
    <w:rsid w:val="001F429B"/>
    <w:rsid w:val="001F43C6"/>
    <w:rsid w:val="001F4C63"/>
    <w:rsid w:val="001F661E"/>
    <w:rsid w:val="001F7E31"/>
    <w:rsid w:val="00200FAD"/>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2C11"/>
    <w:rsid w:val="002E34F4"/>
    <w:rsid w:val="002E35C4"/>
    <w:rsid w:val="002E36C7"/>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769D9"/>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1F5"/>
    <w:rsid w:val="0041460B"/>
    <w:rsid w:val="00414F64"/>
    <w:rsid w:val="00417C8A"/>
    <w:rsid w:val="0042136D"/>
    <w:rsid w:val="00424C70"/>
    <w:rsid w:val="0042557D"/>
    <w:rsid w:val="0042600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0A2"/>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A81"/>
    <w:rsid w:val="00573BCB"/>
    <w:rsid w:val="00576529"/>
    <w:rsid w:val="00576EFE"/>
    <w:rsid w:val="005770CA"/>
    <w:rsid w:val="00580604"/>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D7EF3"/>
    <w:rsid w:val="005E282B"/>
    <w:rsid w:val="005E33BD"/>
    <w:rsid w:val="005E37B6"/>
    <w:rsid w:val="005E5B57"/>
    <w:rsid w:val="005E68E7"/>
    <w:rsid w:val="005F2CA2"/>
    <w:rsid w:val="005F510E"/>
    <w:rsid w:val="005F5691"/>
    <w:rsid w:val="005F78A5"/>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448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3F46"/>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2978"/>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66A4"/>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746"/>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38A0"/>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372BF"/>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2D2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5AA"/>
    <w:rsid w:val="00DB2FD1"/>
    <w:rsid w:val="00DB3137"/>
    <w:rsid w:val="00DB663C"/>
    <w:rsid w:val="00DC10A7"/>
    <w:rsid w:val="00DC168D"/>
    <w:rsid w:val="00DC33B6"/>
    <w:rsid w:val="00DC63F9"/>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475ED"/>
    <w:rsid w:val="00E51C1B"/>
    <w:rsid w:val="00E52E4C"/>
    <w:rsid w:val="00E56E61"/>
    <w:rsid w:val="00E57296"/>
    <w:rsid w:val="00E62202"/>
    <w:rsid w:val="00E622B2"/>
    <w:rsid w:val="00E633B5"/>
    <w:rsid w:val="00E644CD"/>
    <w:rsid w:val="00E65A9B"/>
    <w:rsid w:val="00E67EEA"/>
    <w:rsid w:val="00E715C6"/>
    <w:rsid w:val="00E720E4"/>
    <w:rsid w:val="00E7370C"/>
    <w:rsid w:val="00E75DBB"/>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D784B"/>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1764"/>
    <w:rsid w:val="00FC33BC"/>
    <w:rsid w:val="00FC5B79"/>
    <w:rsid w:val="00FC7905"/>
    <w:rsid w:val="00FD0273"/>
    <w:rsid w:val="00FE5E89"/>
    <w:rsid w:val="00FE7260"/>
    <w:rsid w:val="00FF0866"/>
    <w:rsid w:val="00FF0CA9"/>
    <w:rsid w:val="00FF724C"/>
    <w:rsid w:val="00FF7BD2"/>
    <w:rsid w:val="020A2425"/>
    <w:rsid w:val="02BD36F8"/>
    <w:rsid w:val="02E13588"/>
    <w:rsid w:val="107011F1"/>
    <w:rsid w:val="14856021"/>
    <w:rsid w:val="151809B4"/>
    <w:rsid w:val="1CD34AE1"/>
    <w:rsid w:val="222F5486"/>
    <w:rsid w:val="25AA6F40"/>
    <w:rsid w:val="29F0186E"/>
    <w:rsid w:val="2A5573F9"/>
    <w:rsid w:val="2A721CAC"/>
    <w:rsid w:val="2DFB3BE3"/>
    <w:rsid w:val="30706886"/>
    <w:rsid w:val="372F02B2"/>
    <w:rsid w:val="39A57E98"/>
    <w:rsid w:val="3A084C3A"/>
    <w:rsid w:val="3B627FE1"/>
    <w:rsid w:val="3DDF1E1E"/>
    <w:rsid w:val="41B50A6E"/>
    <w:rsid w:val="4405341A"/>
    <w:rsid w:val="458B4490"/>
    <w:rsid w:val="45AE5583"/>
    <w:rsid w:val="4AF10486"/>
    <w:rsid w:val="4B195D07"/>
    <w:rsid w:val="4C4D51D3"/>
    <w:rsid w:val="5E392DE4"/>
    <w:rsid w:val="667E71D1"/>
    <w:rsid w:val="678C3522"/>
    <w:rsid w:val="72E87C49"/>
    <w:rsid w:val="742F4D5A"/>
    <w:rsid w:val="77F502C1"/>
    <w:rsid w:val="7DFBB8BB"/>
    <w:rsid w:val="7E6D6B78"/>
    <w:rsid w:val="7F8C6E46"/>
    <w:rsid w:val="AEBA6020"/>
    <w:rsid w:val="C7597AF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1"/>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8"/>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样式  + 首行缩进:  2 字符"/>
    <w:basedOn w:val="1"/>
    <w:qFormat/>
    <w:uiPriority w:val="0"/>
    <w:pPr>
      <w:adjustRightInd w:val="0"/>
      <w:spacing w:line="360" w:lineRule="auto"/>
      <w:ind w:firstLine="524" w:firstLineChars="200"/>
    </w:pPr>
    <w:rPr>
      <w:rFonts w:ascii="宋体" w:hAnsi="宋体"/>
      <w:spacing w:val="11"/>
      <w:kern w:val="0"/>
      <w:sz w:val="24"/>
    </w:rPr>
  </w:style>
  <w:style w:type="paragraph" w:styleId="8">
    <w:name w:val="Normal Indent"/>
    <w:basedOn w:val="1"/>
    <w:link w:val="55"/>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table of authorities"/>
    <w:basedOn w:val="1"/>
    <w:next w:val="1"/>
    <w:qFormat/>
    <w:uiPriority w:val="0"/>
    <w:pPr>
      <w:ind w:left="420"/>
    </w:p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64"/>
    <w:qFormat/>
    <w:uiPriority w:val="0"/>
    <w:pPr>
      <w:spacing w:line="360" w:lineRule="auto"/>
      <w:jc w:val="center"/>
    </w:pPr>
    <w:rPr>
      <w:rFonts w:ascii="Calibri" w:hAnsi="Calibri"/>
      <w:sz w:val="20"/>
      <w:szCs w:val="20"/>
    </w:rPr>
  </w:style>
  <w:style w:type="paragraph" w:styleId="17">
    <w:name w:val="Document Map"/>
    <w:basedOn w:val="1"/>
    <w:link w:val="65"/>
    <w:semiHidden/>
    <w:qFormat/>
    <w:uiPriority w:val="0"/>
    <w:pPr>
      <w:shd w:val="clear" w:color="auto" w:fill="000080"/>
    </w:pPr>
  </w:style>
  <w:style w:type="paragraph" w:styleId="18">
    <w:name w:val="annotation text"/>
    <w:basedOn w:val="1"/>
    <w:link w:val="66"/>
    <w:qFormat/>
    <w:uiPriority w:val="0"/>
    <w:pPr>
      <w:jc w:val="left"/>
    </w:pPr>
  </w:style>
  <w:style w:type="paragraph" w:styleId="19">
    <w:name w:val="Body Text"/>
    <w:basedOn w:val="1"/>
    <w:next w:val="1"/>
    <w:link w:val="67"/>
    <w:qFormat/>
    <w:uiPriority w:val="0"/>
    <w:pPr>
      <w:spacing w:line="360" w:lineRule="auto"/>
    </w:pPr>
    <w:rPr>
      <w:rFonts w:eastAsia="仿宋_GB2312"/>
      <w:sz w:val="28"/>
    </w:rPr>
  </w:style>
  <w:style w:type="paragraph" w:styleId="20">
    <w:name w:val="Body Text Indent"/>
    <w:basedOn w:val="1"/>
    <w:link w:val="68"/>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9"/>
    <w:qFormat/>
    <w:uiPriority w:val="0"/>
    <w:rPr>
      <w:rFonts w:ascii="宋体" w:hAnsi="Courier New"/>
      <w:szCs w:val="20"/>
    </w:rPr>
  </w:style>
  <w:style w:type="paragraph" w:styleId="25">
    <w:name w:val="Date"/>
    <w:basedOn w:val="1"/>
    <w:next w:val="1"/>
    <w:link w:val="70"/>
    <w:qFormat/>
    <w:uiPriority w:val="0"/>
    <w:rPr>
      <w:rFonts w:ascii="楷体_GB2312" w:eastAsia="楷体_GB2312"/>
      <w:b/>
      <w:sz w:val="28"/>
      <w:szCs w:val="20"/>
    </w:rPr>
  </w:style>
  <w:style w:type="paragraph" w:styleId="26">
    <w:name w:val="Body Text Indent 2"/>
    <w:basedOn w:val="1"/>
    <w:link w:val="71"/>
    <w:qFormat/>
    <w:uiPriority w:val="0"/>
    <w:pPr>
      <w:spacing w:after="120" w:line="480" w:lineRule="auto"/>
      <w:ind w:left="420" w:leftChars="200"/>
    </w:pPr>
  </w:style>
  <w:style w:type="paragraph" w:styleId="27">
    <w:name w:val="Balloon Text"/>
    <w:basedOn w:val="1"/>
    <w:link w:val="72"/>
    <w:semiHidden/>
    <w:qFormat/>
    <w:uiPriority w:val="0"/>
    <w:rPr>
      <w:sz w:val="18"/>
      <w:szCs w:val="18"/>
    </w:rPr>
  </w:style>
  <w:style w:type="paragraph" w:styleId="28">
    <w:name w:val="footer"/>
    <w:basedOn w:val="1"/>
    <w:link w:val="73"/>
    <w:qFormat/>
    <w:uiPriority w:val="0"/>
    <w:pPr>
      <w:tabs>
        <w:tab w:val="center" w:pos="4153"/>
        <w:tab w:val="right" w:pos="8306"/>
      </w:tabs>
      <w:snapToGrid w:val="0"/>
      <w:jc w:val="left"/>
    </w:pPr>
    <w:rPr>
      <w:sz w:val="18"/>
      <w:szCs w:val="18"/>
    </w:rPr>
  </w:style>
  <w:style w:type="paragraph" w:styleId="29">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75"/>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6"/>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78"/>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79"/>
    <w:semiHidden/>
    <w:qFormat/>
    <w:uiPriority w:val="0"/>
    <w:pPr>
      <w:widowControl/>
      <w:spacing w:afterLines="50"/>
    </w:pPr>
    <w:rPr>
      <w:b/>
      <w:bCs/>
      <w:kern w:val="0"/>
      <w:sz w:val="24"/>
      <w:szCs w:val="20"/>
    </w:rPr>
  </w:style>
  <w:style w:type="paragraph" w:styleId="41">
    <w:name w:val="Body Text First Indent"/>
    <w:basedOn w:val="19"/>
    <w:link w:val="81"/>
    <w:qFormat/>
    <w:uiPriority w:val="0"/>
    <w:pPr>
      <w:spacing w:after="120" w:line="240" w:lineRule="auto"/>
      <w:ind w:firstLine="420" w:firstLineChars="100"/>
    </w:pPr>
    <w:rPr>
      <w:rFonts w:eastAsia="宋体"/>
      <w:sz w:val="21"/>
    </w:rPr>
  </w:style>
  <w:style w:type="paragraph" w:styleId="42">
    <w:name w:val="Body Text First Indent 2"/>
    <w:basedOn w:val="20"/>
    <w:link w:val="8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qFormat/>
    <w:uiPriority w:val="99"/>
    <w:pPr>
      <w:spacing w:line="360" w:lineRule="auto"/>
      <w:ind w:firstLine="480" w:firstLineChars="200"/>
    </w:pPr>
    <w:rPr>
      <w:sz w:val="24"/>
      <w:szCs w:val="22"/>
      <w:lang w:val="zh-CN"/>
    </w:rPr>
  </w:style>
  <w:style w:type="paragraph" w:customStyle="1" w:styleId="5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54">
    <w:name w:val="标题 1 字符"/>
    <w:link w:val="3"/>
    <w:qFormat/>
    <w:uiPriority w:val="0"/>
    <w:rPr>
      <w:rFonts w:eastAsia="仿宋_GB2312"/>
      <w:b/>
      <w:kern w:val="44"/>
      <w:sz w:val="44"/>
      <w:lang w:val="en-US" w:eastAsia="zh-CN" w:bidi="ar-SA"/>
    </w:rPr>
  </w:style>
  <w:style w:type="character" w:customStyle="1" w:styleId="55">
    <w:name w:val="正文缩进 字符"/>
    <w:link w:val="8"/>
    <w:qFormat/>
    <w:uiPriority w:val="0"/>
    <w:rPr>
      <w:rFonts w:eastAsia="宋体"/>
      <w:kern w:val="2"/>
      <w:sz w:val="21"/>
      <w:szCs w:val="24"/>
      <w:lang w:val="en-US" w:eastAsia="zh-CN" w:bidi="ar-SA"/>
    </w:rPr>
  </w:style>
  <w:style w:type="character" w:customStyle="1" w:styleId="56">
    <w:name w:val="标题 2 字符"/>
    <w:link w:val="4"/>
    <w:qFormat/>
    <w:uiPriority w:val="0"/>
    <w:rPr>
      <w:rFonts w:ascii="Arial" w:hAnsi="Arial" w:eastAsia="黑体"/>
      <w:b/>
      <w:kern w:val="2"/>
      <w:sz w:val="32"/>
      <w:lang w:val="en-US" w:eastAsia="zh-CN" w:bidi="ar-SA"/>
    </w:rPr>
  </w:style>
  <w:style w:type="character" w:customStyle="1" w:styleId="57">
    <w:name w:val="标题 3 字符"/>
    <w:link w:val="5"/>
    <w:qFormat/>
    <w:uiPriority w:val="0"/>
    <w:rPr>
      <w:rFonts w:eastAsia="仿宋_GB2312"/>
      <w:b/>
      <w:kern w:val="2"/>
      <w:sz w:val="32"/>
      <w:lang w:val="en-US" w:eastAsia="zh-CN" w:bidi="ar-SA"/>
    </w:rPr>
  </w:style>
  <w:style w:type="character" w:customStyle="1" w:styleId="58">
    <w:name w:val="标题 4 字符"/>
    <w:link w:val="6"/>
    <w:qFormat/>
    <w:uiPriority w:val="0"/>
    <w:rPr>
      <w:rFonts w:ascii="Arial" w:hAnsi="Arial" w:eastAsia="黑体"/>
      <w:b/>
      <w:kern w:val="2"/>
      <w:sz w:val="28"/>
      <w:lang w:val="en-US" w:eastAsia="zh-CN" w:bidi="ar-SA"/>
    </w:rPr>
  </w:style>
  <w:style w:type="character" w:customStyle="1" w:styleId="59">
    <w:name w:val="标题 5 字符"/>
    <w:link w:val="7"/>
    <w:qFormat/>
    <w:uiPriority w:val="0"/>
    <w:rPr>
      <w:rFonts w:eastAsia="宋体"/>
      <w:sz w:val="24"/>
      <w:lang w:val="en-US" w:eastAsia="zh-CN" w:bidi="ar-SA"/>
    </w:rPr>
  </w:style>
  <w:style w:type="character" w:customStyle="1" w:styleId="60">
    <w:name w:val="标题 6 字符"/>
    <w:link w:val="9"/>
    <w:qFormat/>
    <w:uiPriority w:val="0"/>
    <w:rPr>
      <w:rFonts w:ascii="宋体" w:hAnsi="Arial" w:eastAsia="宋体"/>
      <w:sz w:val="24"/>
      <w:lang w:val="en-US" w:eastAsia="zh-CN" w:bidi="ar-SA"/>
    </w:rPr>
  </w:style>
  <w:style w:type="character" w:customStyle="1" w:styleId="61">
    <w:name w:val="标题 7 字符"/>
    <w:link w:val="10"/>
    <w:qFormat/>
    <w:uiPriority w:val="0"/>
    <w:rPr>
      <w:rFonts w:ascii="宋体" w:hAnsi="Arial" w:eastAsia="宋体"/>
      <w:b/>
      <w:sz w:val="24"/>
      <w:lang w:val="en-US" w:eastAsia="zh-CN" w:bidi="ar-SA"/>
    </w:rPr>
  </w:style>
  <w:style w:type="character" w:customStyle="1" w:styleId="62">
    <w:name w:val="标题 8 字符"/>
    <w:link w:val="11"/>
    <w:qFormat/>
    <w:uiPriority w:val="0"/>
    <w:rPr>
      <w:rFonts w:ascii="Arial" w:hAnsi="Arial" w:eastAsia="黑体"/>
      <w:sz w:val="24"/>
      <w:lang w:val="en-US" w:eastAsia="zh-CN" w:bidi="ar-SA"/>
    </w:rPr>
  </w:style>
  <w:style w:type="character" w:customStyle="1" w:styleId="63">
    <w:name w:val="标题 9 字符"/>
    <w:link w:val="12"/>
    <w:qFormat/>
    <w:uiPriority w:val="0"/>
    <w:rPr>
      <w:rFonts w:ascii="Arial" w:hAnsi="Arial" w:eastAsia="黑体"/>
      <w:sz w:val="24"/>
      <w:lang w:val="en-US" w:eastAsia="zh-CN" w:bidi="ar-SA"/>
    </w:rPr>
  </w:style>
  <w:style w:type="character" w:customStyle="1" w:styleId="64">
    <w:name w:val="题注 字符"/>
    <w:link w:val="16"/>
    <w:qFormat/>
    <w:uiPriority w:val="0"/>
    <w:rPr>
      <w:rFonts w:ascii="Calibri" w:hAnsi="Calibri"/>
      <w:kern w:val="2"/>
    </w:rPr>
  </w:style>
  <w:style w:type="character" w:customStyle="1" w:styleId="65">
    <w:name w:val="文档结构图 字符"/>
    <w:link w:val="17"/>
    <w:semiHidden/>
    <w:qFormat/>
    <w:uiPriority w:val="0"/>
    <w:rPr>
      <w:rFonts w:eastAsia="宋体"/>
      <w:kern w:val="2"/>
      <w:sz w:val="21"/>
      <w:szCs w:val="24"/>
      <w:lang w:val="en-US" w:eastAsia="zh-CN" w:bidi="ar-SA"/>
    </w:rPr>
  </w:style>
  <w:style w:type="character" w:customStyle="1" w:styleId="66">
    <w:name w:val="批注文字 字符"/>
    <w:link w:val="18"/>
    <w:qFormat/>
    <w:uiPriority w:val="0"/>
    <w:rPr>
      <w:rFonts w:eastAsia="宋体"/>
      <w:kern w:val="2"/>
      <w:sz w:val="21"/>
      <w:szCs w:val="24"/>
      <w:lang w:val="en-US" w:eastAsia="zh-CN" w:bidi="ar-SA"/>
    </w:rPr>
  </w:style>
  <w:style w:type="character" w:customStyle="1" w:styleId="67">
    <w:name w:val="正文文本 字符"/>
    <w:link w:val="19"/>
    <w:qFormat/>
    <w:locked/>
    <w:uiPriority w:val="0"/>
    <w:rPr>
      <w:rFonts w:eastAsia="仿宋_GB2312"/>
      <w:kern w:val="2"/>
      <w:sz w:val="28"/>
      <w:szCs w:val="24"/>
      <w:lang w:val="en-US" w:eastAsia="zh-CN" w:bidi="ar-SA"/>
    </w:rPr>
  </w:style>
  <w:style w:type="character" w:customStyle="1" w:styleId="68">
    <w:name w:val="正文文本缩进 字符"/>
    <w:link w:val="20"/>
    <w:qFormat/>
    <w:uiPriority w:val="0"/>
    <w:rPr>
      <w:rFonts w:eastAsia="宋体"/>
      <w:kern w:val="2"/>
      <w:sz w:val="21"/>
      <w:szCs w:val="24"/>
      <w:lang w:val="en-US" w:eastAsia="zh-CN" w:bidi="ar-SA"/>
    </w:rPr>
  </w:style>
  <w:style w:type="character" w:customStyle="1" w:styleId="69">
    <w:name w:val="纯文本 字符"/>
    <w:link w:val="24"/>
    <w:qFormat/>
    <w:uiPriority w:val="0"/>
    <w:rPr>
      <w:rFonts w:ascii="宋体" w:hAnsi="Courier New" w:eastAsia="宋体"/>
      <w:kern w:val="2"/>
      <w:sz w:val="21"/>
      <w:lang w:val="en-US" w:eastAsia="zh-CN" w:bidi="ar-SA"/>
    </w:rPr>
  </w:style>
  <w:style w:type="character" w:customStyle="1" w:styleId="70">
    <w:name w:val="日期 字符"/>
    <w:link w:val="25"/>
    <w:qFormat/>
    <w:uiPriority w:val="0"/>
    <w:rPr>
      <w:rFonts w:ascii="楷体_GB2312" w:eastAsia="楷体_GB2312"/>
      <w:b/>
      <w:kern w:val="2"/>
      <w:sz w:val="28"/>
      <w:lang w:val="en-US" w:eastAsia="zh-CN" w:bidi="ar-SA"/>
    </w:rPr>
  </w:style>
  <w:style w:type="character" w:customStyle="1" w:styleId="71">
    <w:name w:val="正文文本缩进 2 字符"/>
    <w:link w:val="26"/>
    <w:qFormat/>
    <w:locked/>
    <w:uiPriority w:val="0"/>
    <w:rPr>
      <w:rFonts w:eastAsia="宋体"/>
      <w:kern w:val="2"/>
      <w:sz w:val="21"/>
      <w:szCs w:val="24"/>
      <w:lang w:val="en-US" w:eastAsia="zh-CN" w:bidi="ar-SA"/>
    </w:rPr>
  </w:style>
  <w:style w:type="character" w:customStyle="1" w:styleId="72">
    <w:name w:val="批注框文本 字符"/>
    <w:basedOn w:val="45"/>
    <w:link w:val="27"/>
    <w:semiHidden/>
    <w:qFormat/>
    <w:uiPriority w:val="0"/>
    <w:rPr>
      <w:kern w:val="2"/>
      <w:sz w:val="18"/>
      <w:szCs w:val="18"/>
    </w:rPr>
  </w:style>
  <w:style w:type="character" w:customStyle="1" w:styleId="73">
    <w:name w:val="页脚 字符"/>
    <w:link w:val="28"/>
    <w:qFormat/>
    <w:locked/>
    <w:uiPriority w:val="0"/>
    <w:rPr>
      <w:rFonts w:eastAsia="宋体"/>
      <w:kern w:val="2"/>
      <w:sz w:val="18"/>
      <w:szCs w:val="18"/>
      <w:lang w:val="en-US" w:eastAsia="zh-CN" w:bidi="ar-SA"/>
    </w:rPr>
  </w:style>
  <w:style w:type="character" w:customStyle="1" w:styleId="74">
    <w:name w:val="页眉 字符"/>
    <w:link w:val="29"/>
    <w:qFormat/>
    <w:uiPriority w:val="0"/>
    <w:rPr>
      <w:rFonts w:eastAsia="宋体"/>
      <w:kern w:val="2"/>
      <w:sz w:val="18"/>
      <w:szCs w:val="18"/>
      <w:lang w:val="en-US" w:eastAsia="zh-CN" w:bidi="ar-SA"/>
    </w:rPr>
  </w:style>
  <w:style w:type="character" w:customStyle="1" w:styleId="75">
    <w:name w:val="正文文本缩进 3 字符"/>
    <w:basedOn w:val="45"/>
    <w:link w:val="32"/>
    <w:qFormat/>
    <w:uiPriority w:val="0"/>
    <w:rPr>
      <w:kern w:val="2"/>
      <w:sz w:val="16"/>
      <w:szCs w:val="16"/>
    </w:rPr>
  </w:style>
  <w:style w:type="character" w:customStyle="1" w:styleId="76">
    <w:name w:val="正文文本 2 字符"/>
    <w:link w:val="34"/>
    <w:qFormat/>
    <w:uiPriority w:val="0"/>
    <w:rPr>
      <w:rFonts w:ascii="隶书" w:eastAsia="隶书"/>
      <w:bCs/>
      <w:sz w:val="72"/>
      <w:szCs w:val="84"/>
      <w:lang w:val="en-US" w:eastAsia="zh-CN" w:bidi="ar-SA"/>
    </w:rPr>
  </w:style>
  <w:style w:type="character" w:customStyle="1" w:styleId="77">
    <w:name w:val="HTML 预设格式 字符"/>
    <w:basedOn w:val="45"/>
    <w:link w:val="36"/>
    <w:qFormat/>
    <w:uiPriority w:val="0"/>
    <w:rPr>
      <w:rFonts w:ascii="黑体" w:hAnsi="Courier New" w:eastAsia="黑体" w:cs="Courier New"/>
    </w:rPr>
  </w:style>
  <w:style w:type="character" w:customStyle="1" w:styleId="78">
    <w:name w:val="标题 字符"/>
    <w:link w:val="39"/>
    <w:qFormat/>
    <w:locked/>
    <w:uiPriority w:val="0"/>
    <w:rPr>
      <w:rFonts w:ascii="Calibri Light" w:hAnsi="Calibri Light" w:eastAsia="宋体"/>
      <w:b/>
      <w:bCs/>
      <w:kern w:val="2"/>
      <w:sz w:val="32"/>
      <w:szCs w:val="32"/>
      <w:lang w:val="en-US" w:eastAsia="zh-CN" w:bidi="ar-SA"/>
    </w:rPr>
  </w:style>
  <w:style w:type="character" w:customStyle="1" w:styleId="79">
    <w:name w:val="批注主题 字符"/>
    <w:basedOn w:val="80"/>
    <w:link w:val="40"/>
    <w:semiHidden/>
    <w:qFormat/>
    <w:uiPriority w:val="0"/>
    <w:rPr>
      <w:rFonts w:eastAsia="宋体"/>
      <w:b/>
      <w:bCs/>
      <w:kern w:val="2"/>
      <w:sz w:val="24"/>
      <w:szCs w:val="24"/>
      <w:lang w:val="en-US" w:eastAsia="zh-CN" w:bidi="ar-SA"/>
    </w:rPr>
  </w:style>
  <w:style w:type="character" w:customStyle="1" w:styleId="80">
    <w:name w:val="批注文字 Char"/>
    <w:qFormat/>
    <w:uiPriority w:val="0"/>
    <w:rPr>
      <w:rFonts w:eastAsia="宋体"/>
      <w:kern w:val="2"/>
      <w:sz w:val="21"/>
      <w:szCs w:val="24"/>
      <w:lang w:val="en-US" w:eastAsia="zh-CN" w:bidi="ar-SA"/>
    </w:rPr>
  </w:style>
  <w:style w:type="character" w:customStyle="1" w:styleId="81">
    <w:name w:val="正文文本首行缩进 字符"/>
    <w:basedOn w:val="82"/>
    <w:link w:val="41"/>
    <w:qFormat/>
    <w:uiPriority w:val="0"/>
    <w:rPr>
      <w:rFonts w:eastAsia="仿宋_GB2312"/>
      <w:kern w:val="2"/>
      <w:sz w:val="21"/>
      <w:szCs w:val="24"/>
      <w:lang w:val="en-US" w:eastAsia="zh-CN" w:bidi="ar-SA"/>
    </w:rPr>
  </w:style>
  <w:style w:type="character" w:customStyle="1" w:styleId="82">
    <w:name w:val="正文文本 Char"/>
    <w:qFormat/>
    <w:locked/>
    <w:uiPriority w:val="0"/>
    <w:rPr>
      <w:rFonts w:eastAsia="仿宋_GB2312"/>
      <w:kern w:val="2"/>
      <w:sz w:val="28"/>
      <w:szCs w:val="24"/>
      <w:lang w:val="en-US" w:eastAsia="zh-CN" w:bidi="ar-SA"/>
    </w:rPr>
  </w:style>
  <w:style w:type="character" w:customStyle="1" w:styleId="83">
    <w:name w:val="正文文本首行缩进 2 字符"/>
    <w:basedOn w:val="68"/>
    <w:link w:val="42"/>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paragraph" w:customStyle="1" w:styleId="85">
    <w:name w:val="表正文"/>
    <w:basedOn w:val="1"/>
    <w:next w:val="24"/>
    <w:qFormat/>
    <w:uiPriority w:val="0"/>
    <w:rPr>
      <w:rFonts w:ascii="宋体" w:hAnsi="Courier New"/>
      <w:szCs w:val="20"/>
    </w:rPr>
  </w:style>
  <w:style w:type="paragraph" w:customStyle="1" w:styleId="86">
    <w:name w:val="正文段"/>
    <w:basedOn w:val="1"/>
    <w:link w:val="87"/>
    <w:qFormat/>
    <w:uiPriority w:val="0"/>
    <w:pPr>
      <w:widowControl/>
      <w:snapToGrid w:val="0"/>
      <w:spacing w:afterLines="50"/>
      <w:ind w:firstLine="200" w:firstLineChars="200"/>
    </w:pPr>
    <w:rPr>
      <w:kern w:val="0"/>
      <w:sz w:val="24"/>
      <w:szCs w:val="20"/>
    </w:rPr>
  </w:style>
  <w:style w:type="character" w:customStyle="1" w:styleId="87">
    <w:name w:val="正文段 Char"/>
    <w:link w:val="86"/>
    <w:qFormat/>
    <w:uiPriority w:val="0"/>
    <w:rPr>
      <w:rFonts w:eastAsia="宋体"/>
      <w:sz w:val="24"/>
      <w:lang w:val="en-US" w:eastAsia="zh-CN" w:bidi="ar-SA"/>
    </w:rPr>
  </w:style>
  <w:style w:type="paragraph" w:customStyle="1" w:styleId="88">
    <w:name w:val="Char"/>
    <w:basedOn w:val="1"/>
    <w:qFormat/>
    <w:uiPriority w:val="0"/>
    <w:rPr>
      <w:rFonts w:ascii="仿宋_GB2312" w:eastAsia="仿宋_GB2312"/>
      <w:b/>
      <w:sz w:val="32"/>
      <w:szCs w:val="32"/>
    </w:rPr>
  </w:style>
  <w:style w:type="paragraph" w:customStyle="1" w:styleId="89">
    <w:name w:val="Table Text"/>
    <w:link w:val="90"/>
    <w:qFormat/>
    <w:uiPriority w:val="0"/>
    <w:pPr>
      <w:snapToGrid w:val="0"/>
      <w:spacing w:before="80" w:after="80"/>
    </w:pPr>
    <w:rPr>
      <w:rFonts w:ascii="Arial" w:hAnsi="Arial" w:eastAsia="宋体" w:cs="Times New Roman"/>
      <w:sz w:val="18"/>
      <w:lang w:val="en-US" w:eastAsia="zh-CN" w:bidi="ar-SA"/>
    </w:rPr>
  </w:style>
  <w:style w:type="character" w:customStyle="1" w:styleId="90">
    <w:name w:val="Table Text Char1"/>
    <w:link w:val="89"/>
    <w:qFormat/>
    <w:uiPriority w:val="0"/>
    <w:rPr>
      <w:rFonts w:ascii="Arial" w:hAnsi="Arial"/>
      <w:sz w:val="18"/>
      <w:lang w:val="en-US" w:eastAsia="zh-CN" w:bidi="ar-SA"/>
    </w:rPr>
  </w:style>
  <w:style w:type="character" w:customStyle="1" w:styleId="91">
    <w:name w:val="正文（缩进2汉字） Char"/>
    <w:link w:val="92"/>
    <w:qFormat/>
    <w:uiPriority w:val="0"/>
    <w:rPr>
      <w:rFonts w:ascii="宋体"/>
      <w:kern w:val="2"/>
      <w:sz w:val="21"/>
      <w:lang w:bidi="ar-SA"/>
    </w:rPr>
  </w:style>
  <w:style w:type="paragraph" w:customStyle="1" w:styleId="92">
    <w:name w:val="正文（缩进2汉字）"/>
    <w:basedOn w:val="1"/>
    <w:link w:val="91"/>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93">
    <w:name w:val="Char111"/>
    <w:basedOn w:val="1"/>
    <w:qFormat/>
    <w:uiPriority w:val="0"/>
    <w:pPr>
      <w:tabs>
        <w:tab w:val="left" w:pos="432"/>
      </w:tabs>
      <w:spacing w:beforeLines="50" w:afterLines="50"/>
      <w:ind w:left="432" w:hanging="432"/>
      <w:jc w:val="center"/>
    </w:pPr>
    <w:rPr>
      <w:sz w:val="24"/>
    </w:rPr>
  </w:style>
  <w:style w:type="paragraph" w:customStyle="1" w:styleId="94">
    <w:name w:val="模板普通正文"/>
    <w:basedOn w:val="20"/>
    <w:qFormat/>
    <w:uiPriority w:val="0"/>
    <w:pPr>
      <w:spacing w:beforeLines="50" w:after="10" w:line="360" w:lineRule="auto"/>
      <w:ind w:left="0" w:leftChars="0" w:firstLine="175" w:firstLineChars="175"/>
      <w:jc w:val="left"/>
    </w:pPr>
    <w:rPr>
      <w:sz w:val="24"/>
    </w:rPr>
  </w:style>
  <w:style w:type="paragraph" w:customStyle="1" w:styleId="95">
    <w:name w:val="缺省文本"/>
    <w:basedOn w:val="1"/>
    <w:qFormat/>
    <w:uiPriority w:val="0"/>
    <w:pPr>
      <w:autoSpaceDE w:val="0"/>
      <w:autoSpaceDN w:val="0"/>
      <w:adjustRightInd w:val="0"/>
      <w:jc w:val="left"/>
    </w:pPr>
    <w:rPr>
      <w:kern w:val="0"/>
      <w:sz w:val="24"/>
    </w:rPr>
  </w:style>
  <w:style w:type="paragraph" w:customStyle="1" w:styleId="96">
    <w:name w:val="WW-正文文字缩进 2"/>
    <w:basedOn w:val="1"/>
    <w:qFormat/>
    <w:uiPriority w:val="0"/>
    <w:pPr>
      <w:suppressAutoHyphens/>
      <w:ind w:firstLine="420"/>
    </w:pPr>
    <w:rPr>
      <w:kern w:val="1"/>
      <w:szCs w:val="20"/>
    </w:rPr>
  </w:style>
  <w:style w:type="paragraph" w:customStyle="1" w:styleId="97">
    <w:name w:val="默认段落字体 Para Char Char Char Char Char Char Char Char Char1 Char Char Char Char"/>
    <w:basedOn w:val="1"/>
    <w:qFormat/>
    <w:uiPriority w:val="0"/>
    <w:rPr>
      <w:rFonts w:ascii="Tahoma" w:hAnsi="Tahoma"/>
      <w:sz w:val="24"/>
      <w:szCs w:val="20"/>
    </w:rPr>
  </w:style>
  <w:style w:type="paragraph" w:customStyle="1" w:styleId="98">
    <w:name w:val="项目排列"/>
    <w:basedOn w:val="1"/>
    <w:link w:val="99"/>
    <w:qFormat/>
    <w:uiPriority w:val="0"/>
    <w:pPr>
      <w:tabs>
        <w:tab w:val="left" w:pos="900"/>
      </w:tabs>
      <w:spacing w:beforeLines="50" w:afterLines="50" w:line="300" w:lineRule="auto"/>
      <w:ind w:left="900" w:hanging="420"/>
    </w:pPr>
    <w:rPr>
      <w:sz w:val="24"/>
    </w:rPr>
  </w:style>
  <w:style w:type="character" w:customStyle="1" w:styleId="99">
    <w:name w:val="项目排列 Char"/>
    <w:link w:val="98"/>
    <w:qFormat/>
    <w:uiPriority w:val="0"/>
    <w:rPr>
      <w:kern w:val="2"/>
      <w:sz w:val="24"/>
      <w:szCs w:val="24"/>
    </w:rPr>
  </w:style>
  <w:style w:type="character" w:customStyle="1" w:styleId="100">
    <w:name w:val="style21"/>
    <w:qFormat/>
    <w:uiPriority w:val="0"/>
    <w:rPr>
      <w:sz w:val="15"/>
      <w:szCs w:val="15"/>
    </w:rPr>
  </w:style>
  <w:style w:type="paragraph" w:customStyle="1" w:styleId="10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0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03">
    <w:name w:val="Char1"/>
    <w:basedOn w:val="1"/>
    <w:qFormat/>
    <w:uiPriority w:val="0"/>
    <w:rPr>
      <w:szCs w:val="20"/>
    </w:rPr>
  </w:style>
  <w:style w:type="paragraph" w:customStyle="1" w:styleId="104">
    <w:name w:val="列出段落1"/>
    <w:basedOn w:val="1"/>
    <w:qFormat/>
    <w:uiPriority w:val="0"/>
    <w:pPr>
      <w:ind w:firstLine="420" w:firstLineChars="200"/>
    </w:pPr>
    <w:rPr>
      <w:rFonts w:ascii="Calibri" w:hAnsi="Calibri"/>
      <w:szCs w:val="22"/>
    </w:rPr>
  </w:style>
  <w:style w:type="paragraph" w:customStyle="1" w:styleId="105">
    <w:name w:val="默认段落字体 Para Char Char Char Char"/>
    <w:basedOn w:val="1"/>
    <w:qFormat/>
    <w:uiPriority w:val="0"/>
  </w:style>
  <w:style w:type="paragraph" w:customStyle="1" w:styleId="106">
    <w:name w:val="Char Char Char1 Char Char Char1 Char Char Char Char"/>
    <w:basedOn w:val="1"/>
    <w:qFormat/>
    <w:uiPriority w:val="0"/>
  </w:style>
  <w:style w:type="character" w:customStyle="1" w:styleId="107">
    <w:name w:val="font1"/>
    <w:qFormat/>
    <w:uiPriority w:val="0"/>
    <w:rPr>
      <w:color w:val="999999"/>
      <w:sz w:val="18"/>
      <w:szCs w:val="18"/>
      <w:u w:val="none"/>
    </w:rPr>
  </w:style>
  <w:style w:type="paragraph" w:customStyle="1" w:styleId="10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Char Char Char Char Char Char Char Char Char Char"/>
    <w:basedOn w:val="1"/>
    <w:qFormat/>
    <w:uiPriority w:val="0"/>
    <w:rPr>
      <w:rFonts w:ascii="Tahoma" w:hAnsi="Tahoma"/>
      <w:sz w:val="24"/>
      <w:szCs w:val="20"/>
    </w:rPr>
  </w:style>
  <w:style w:type="character" w:customStyle="1" w:styleId="110">
    <w:name w:val="apple-style-span"/>
    <w:basedOn w:val="45"/>
    <w:qFormat/>
    <w:uiPriority w:val="0"/>
  </w:style>
  <w:style w:type="paragraph" w:customStyle="1" w:styleId="111">
    <w:name w:val="正文无缩进"/>
    <w:basedOn w:val="1"/>
    <w:link w:val="112"/>
    <w:qFormat/>
    <w:uiPriority w:val="0"/>
    <w:pPr>
      <w:spacing w:line="360" w:lineRule="auto"/>
    </w:pPr>
    <w:rPr>
      <w:rFonts w:ascii="宋体"/>
      <w:color w:val="000000"/>
      <w:sz w:val="24"/>
    </w:rPr>
  </w:style>
  <w:style w:type="character" w:customStyle="1" w:styleId="112">
    <w:name w:val="正文无缩进 Char"/>
    <w:link w:val="111"/>
    <w:qFormat/>
    <w:uiPriority w:val="0"/>
    <w:rPr>
      <w:rFonts w:ascii="宋体" w:eastAsia="宋体"/>
      <w:color w:val="000000"/>
      <w:kern w:val="2"/>
      <w:sz w:val="24"/>
      <w:szCs w:val="24"/>
      <w:lang w:val="en-US" w:eastAsia="zh-CN" w:bidi="ar-SA"/>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14">
    <w:name w:val="ca-3"/>
    <w:basedOn w:val="45"/>
    <w:qFormat/>
    <w:uiPriority w:val="0"/>
  </w:style>
  <w:style w:type="paragraph" w:customStyle="1" w:styleId="11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16">
    <w:name w:val="表格 Char Char"/>
    <w:link w:val="117"/>
    <w:qFormat/>
    <w:locked/>
    <w:uiPriority w:val="0"/>
    <w:rPr>
      <w:rFonts w:ascii="宋体" w:hAnsi="宋体" w:eastAsia="宋体"/>
      <w:lang w:val="en-US" w:eastAsia="zh-CN" w:bidi="ar-SA"/>
    </w:rPr>
  </w:style>
  <w:style w:type="paragraph" w:customStyle="1" w:styleId="117">
    <w:name w:val="表格"/>
    <w:basedOn w:val="1"/>
    <w:link w:val="116"/>
    <w:qFormat/>
    <w:uiPriority w:val="0"/>
    <w:pPr>
      <w:snapToGrid w:val="0"/>
      <w:ind w:firstLine="42" w:firstLineChars="21"/>
    </w:pPr>
    <w:rPr>
      <w:rFonts w:ascii="宋体" w:hAnsi="宋体"/>
      <w:kern w:val="0"/>
      <w:sz w:val="20"/>
      <w:szCs w:val="20"/>
    </w:rPr>
  </w:style>
  <w:style w:type="paragraph" w:customStyle="1" w:styleId="11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9">
    <w:name w:val="Char Char1 Char Char Char Char Char Char"/>
    <w:basedOn w:val="1"/>
    <w:qFormat/>
    <w:uiPriority w:val="0"/>
    <w:pPr>
      <w:widowControl/>
      <w:spacing w:after="160" w:line="240" w:lineRule="exact"/>
      <w:jc w:val="left"/>
    </w:pPr>
  </w:style>
  <w:style w:type="character" w:customStyle="1" w:styleId="120">
    <w:name w:val="Char Char"/>
    <w:qFormat/>
    <w:uiPriority w:val="0"/>
    <w:rPr>
      <w:rFonts w:hint="eastAsia" w:ascii="宋体" w:hAnsi="Courier New" w:eastAsia="宋体"/>
      <w:kern w:val="2"/>
      <w:sz w:val="21"/>
      <w:lang w:val="en-US" w:eastAsia="zh-CN" w:bidi="ar-SA"/>
    </w:rPr>
  </w:style>
  <w:style w:type="character" w:customStyle="1" w:styleId="121">
    <w:name w:val="style51"/>
    <w:qFormat/>
    <w:uiPriority w:val="0"/>
    <w:rPr>
      <w:sz w:val="21"/>
      <w:szCs w:val="21"/>
    </w:rPr>
  </w:style>
  <w:style w:type="paragraph" w:customStyle="1" w:styleId="12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23">
    <w:name w:val="标准文本"/>
    <w:basedOn w:val="1"/>
    <w:link w:val="124"/>
    <w:qFormat/>
    <w:uiPriority w:val="0"/>
    <w:pPr>
      <w:spacing w:line="360" w:lineRule="auto"/>
      <w:ind w:firstLine="480" w:firstLineChars="200"/>
    </w:pPr>
    <w:rPr>
      <w:rFonts w:cs="宋体"/>
      <w:sz w:val="24"/>
      <w:szCs w:val="20"/>
    </w:rPr>
  </w:style>
  <w:style w:type="character" w:customStyle="1" w:styleId="124">
    <w:name w:val="标准文本 Char"/>
    <w:link w:val="123"/>
    <w:qFormat/>
    <w:uiPriority w:val="0"/>
    <w:rPr>
      <w:rFonts w:eastAsia="宋体" w:cs="宋体"/>
      <w:kern w:val="2"/>
      <w:sz w:val="24"/>
      <w:lang w:val="en-US" w:eastAsia="zh-CN" w:bidi="ar-SA"/>
    </w:rPr>
  </w:style>
  <w:style w:type="paragraph" w:customStyle="1" w:styleId="12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6">
    <w:name w:val="自定义正文"/>
    <w:basedOn w:val="1"/>
    <w:link w:val="127"/>
    <w:qFormat/>
    <w:uiPriority w:val="0"/>
    <w:pPr>
      <w:spacing w:line="480" w:lineRule="exact"/>
      <w:ind w:firstLine="200" w:firstLineChars="200"/>
      <w:jc w:val="left"/>
    </w:pPr>
    <w:rPr>
      <w:rFonts w:ascii="仿宋_GB2312" w:eastAsia="仿宋_GB2312"/>
      <w:sz w:val="28"/>
    </w:rPr>
  </w:style>
  <w:style w:type="character" w:customStyle="1" w:styleId="127">
    <w:name w:val="自定义正文 Char"/>
    <w:link w:val="126"/>
    <w:qFormat/>
    <w:uiPriority w:val="0"/>
    <w:rPr>
      <w:rFonts w:ascii="仿宋_GB2312" w:eastAsia="仿宋_GB2312"/>
      <w:kern w:val="2"/>
      <w:sz w:val="28"/>
      <w:szCs w:val="24"/>
      <w:lang w:val="en-US" w:eastAsia="zh-CN" w:bidi="ar-SA"/>
    </w:rPr>
  </w:style>
  <w:style w:type="paragraph" w:customStyle="1" w:styleId="12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9">
    <w:name w:val="自定义表格文字"/>
    <w:basedOn w:val="1"/>
    <w:qFormat/>
    <w:uiPriority w:val="0"/>
    <w:pPr>
      <w:spacing w:before="60" w:after="60" w:line="320" w:lineRule="exact"/>
      <w:jc w:val="left"/>
    </w:pPr>
    <w:rPr>
      <w:rFonts w:ascii="宋体" w:eastAsia="楷体_GB2312"/>
    </w:rPr>
  </w:style>
  <w:style w:type="paragraph" w:customStyle="1" w:styleId="13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2">
    <w:name w:val="Char Char12"/>
    <w:qFormat/>
    <w:uiPriority w:val="0"/>
    <w:rPr>
      <w:rFonts w:ascii="宋体" w:hAnsi="Courier New" w:eastAsia="宋体"/>
      <w:kern w:val="2"/>
      <w:sz w:val="21"/>
      <w:lang w:val="en-US" w:eastAsia="zh-CN" w:bidi="ar-SA"/>
    </w:rPr>
  </w:style>
  <w:style w:type="character" w:customStyle="1" w:styleId="133">
    <w:name w:val="H4 Char"/>
    <w:qFormat/>
    <w:uiPriority w:val="0"/>
    <w:rPr>
      <w:rFonts w:ascii="宋体" w:hAnsi="宋体" w:eastAsia="黑体"/>
      <w:b/>
      <w:bCs/>
      <w:color w:val="000000"/>
      <w:spacing w:val="-4"/>
      <w:kern w:val="2"/>
      <w:sz w:val="24"/>
      <w:szCs w:val="30"/>
      <w:lang w:val="en-US" w:eastAsia="zh-CN" w:bidi="ar-SA"/>
    </w:rPr>
  </w:style>
  <w:style w:type="character" w:customStyle="1" w:styleId="134">
    <w:name w:val="H5 Char"/>
    <w:qFormat/>
    <w:uiPriority w:val="0"/>
    <w:rPr>
      <w:rFonts w:ascii="Arial" w:hAnsi="Arial" w:eastAsia="宋体"/>
      <w:sz w:val="24"/>
      <w:lang w:val="en-US" w:eastAsia="zh-CN" w:bidi="ar-SA"/>
    </w:rPr>
  </w:style>
  <w:style w:type="character" w:customStyle="1" w:styleId="135">
    <w:name w:val="Char Char8"/>
    <w:qFormat/>
    <w:uiPriority w:val="0"/>
    <w:rPr>
      <w:rFonts w:ascii="宋体" w:eastAsia="宋体"/>
      <w:kern w:val="2"/>
      <w:sz w:val="28"/>
      <w:lang w:val="en-US" w:eastAsia="zh-CN" w:bidi="ar-SA"/>
    </w:rPr>
  </w:style>
  <w:style w:type="character" w:customStyle="1" w:styleId="136">
    <w:name w:val="Char Char7"/>
    <w:qFormat/>
    <w:uiPriority w:val="0"/>
    <w:rPr>
      <w:rFonts w:eastAsia="仿宋_GB2312"/>
      <w:kern w:val="2"/>
      <w:sz w:val="24"/>
      <w:szCs w:val="24"/>
      <w:lang w:val="en-US" w:eastAsia="zh-CN" w:bidi="ar-SA"/>
    </w:rPr>
  </w:style>
  <w:style w:type="paragraph" w:customStyle="1" w:styleId="137">
    <w:name w:val="表内文字"/>
    <w:basedOn w:val="1"/>
    <w:qFormat/>
    <w:uiPriority w:val="0"/>
    <w:pPr>
      <w:jc w:val="center"/>
    </w:pPr>
    <w:rPr>
      <w:color w:val="FF0000"/>
      <w:kern w:val="0"/>
      <w:sz w:val="24"/>
    </w:rPr>
  </w:style>
  <w:style w:type="character" w:customStyle="1" w:styleId="138">
    <w:name w:val="Char Char3"/>
    <w:qFormat/>
    <w:uiPriority w:val="0"/>
    <w:rPr>
      <w:rFonts w:eastAsia="仿宋_GB2312"/>
      <w:kern w:val="2"/>
      <w:sz w:val="28"/>
      <w:szCs w:val="24"/>
      <w:lang w:val="en-US" w:eastAsia="zh-CN" w:bidi="ar-SA"/>
    </w:rPr>
  </w:style>
  <w:style w:type="paragraph" w:customStyle="1" w:styleId="13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4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4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4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3">
    <w:name w:val="项目1"/>
    <w:basedOn w:val="1"/>
    <w:qFormat/>
    <w:uiPriority w:val="0"/>
    <w:pPr>
      <w:tabs>
        <w:tab w:val="left" w:pos="840"/>
      </w:tabs>
      <w:spacing w:after="60"/>
      <w:ind w:left="840" w:hanging="420"/>
    </w:pPr>
    <w:rPr>
      <w:rFonts w:ascii="宋体"/>
      <w:spacing w:val="4"/>
      <w:szCs w:val="20"/>
    </w:rPr>
  </w:style>
  <w:style w:type="paragraph" w:customStyle="1" w:styleId="144">
    <w:name w:val="编10号"/>
    <w:basedOn w:val="1"/>
    <w:qFormat/>
    <w:uiPriority w:val="0"/>
    <w:pPr>
      <w:tabs>
        <w:tab w:val="left" w:pos="1620"/>
      </w:tabs>
      <w:ind w:left="1620" w:hanging="360"/>
    </w:pPr>
  </w:style>
  <w:style w:type="paragraph" w:customStyle="1" w:styleId="145">
    <w:name w:val="段"/>
    <w:basedOn w:val="1"/>
    <w:qFormat/>
    <w:uiPriority w:val="0"/>
    <w:pPr>
      <w:ind w:firstLine="425"/>
    </w:pPr>
    <w:rPr>
      <w:rFonts w:ascii="宋体"/>
      <w:szCs w:val="20"/>
    </w:rPr>
  </w:style>
  <w:style w:type="paragraph" w:customStyle="1" w:styleId="146">
    <w:name w:val="Char Char Char Char"/>
    <w:basedOn w:val="1"/>
    <w:qFormat/>
    <w:uiPriority w:val="0"/>
    <w:pPr>
      <w:widowControl/>
      <w:spacing w:after="160" w:line="240" w:lineRule="exact"/>
      <w:jc w:val="left"/>
    </w:pPr>
    <w:rPr>
      <w:kern w:val="0"/>
      <w:sz w:val="24"/>
    </w:rPr>
  </w:style>
  <w:style w:type="paragraph" w:customStyle="1" w:styleId="14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bulletintext1"/>
    <w:qFormat/>
    <w:uiPriority w:val="0"/>
    <w:rPr>
      <w:rFonts w:hint="eastAsia" w:ascii="宋体" w:hAnsi="宋体" w:eastAsia="宋体"/>
      <w:sz w:val="18"/>
      <w:szCs w:val="18"/>
    </w:rPr>
  </w:style>
  <w:style w:type="paragraph" w:customStyle="1" w:styleId="149">
    <w:name w:val="Char1 Char Char Char Char Char Char"/>
    <w:basedOn w:val="1"/>
    <w:qFormat/>
    <w:uiPriority w:val="0"/>
    <w:rPr>
      <w:rFonts w:ascii="Tahoma" w:hAnsi="Tahoma"/>
      <w:sz w:val="24"/>
      <w:szCs w:val="20"/>
    </w:rPr>
  </w:style>
  <w:style w:type="paragraph" w:customStyle="1" w:styleId="150">
    <w:name w:val="Char Char2 Char Char Char Char"/>
    <w:basedOn w:val="17"/>
    <w:qFormat/>
    <w:uiPriority w:val="0"/>
    <w:rPr>
      <w:rFonts w:ascii="Tahoma" w:hAnsi="Tahoma"/>
      <w:sz w:val="24"/>
    </w:rPr>
  </w:style>
  <w:style w:type="paragraph" w:customStyle="1" w:styleId="151">
    <w:name w:val="Char Char Char"/>
    <w:basedOn w:val="17"/>
    <w:qFormat/>
    <w:uiPriority w:val="0"/>
    <w:rPr>
      <w:rFonts w:ascii="Tahoma" w:hAnsi="Tahoma"/>
      <w:sz w:val="24"/>
    </w:rPr>
  </w:style>
  <w:style w:type="paragraph" w:customStyle="1" w:styleId="152">
    <w:name w:val="正文缩进 New"/>
    <w:basedOn w:val="1"/>
    <w:qFormat/>
    <w:uiPriority w:val="0"/>
    <w:pPr>
      <w:ind w:firstLine="420" w:firstLineChars="200"/>
    </w:pPr>
    <w:rPr>
      <w:szCs w:val="20"/>
    </w:rPr>
  </w:style>
  <w:style w:type="paragraph" w:customStyle="1" w:styleId="15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54">
    <w:name w:val="tpc_content1"/>
    <w:qFormat/>
    <w:uiPriority w:val="0"/>
    <w:rPr>
      <w:sz w:val="20"/>
      <w:szCs w:val="20"/>
    </w:rPr>
  </w:style>
  <w:style w:type="character" w:customStyle="1" w:styleId="155">
    <w:name w:val="Char Char11"/>
    <w:qFormat/>
    <w:uiPriority w:val="0"/>
    <w:rPr>
      <w:b/>
      <w:kern w:val="44"/>
      <w:sz w:val="44"/>
    </w:rPr>
  </w:style>
  <w:style w:type="character" w:customStyle="1" w:styleId="156">
    <w:name w:val="Char Char10"/>
    <w:qFormat/>
    <w:uiPriority w:val="0"/>
    <w:rPr>
      <w:b/>
      <w:kern w:val="2"/>
      <w:sz w:val="28"/>
      <w:szCs w:val="28"/>
    </w:rPr>
  </w:style>
  <w:style w:type="character" w:customStyle="1" w:styleId="157">
    <w:name w:val="Char Char9"/>
    <w:qFormat/>
    <w:uiPriority w:val="0"/>
    <w:rPr>
      <w:b/>
      <w:kern w:val="2"/>
      <w:sz w:val="24"/>
      <w:szCs w:val="24"/>
    </w:rPr>
  </w:style>
  <w:style w:type="paragraph" w:customStyle="1" w:styleId="158">
    <w:name w:val="Char Char Char 字元 字元"/>
    <w:basedOn w:val="1"/>
    <w:qFormat/>
    <w:uiPriority w:val="0"/>
    <w:pPr>
      <w:spacing w:line="360" w:lineRule="auto"/>
      <w:ind w:firstLine="200" w:firstLineChars="200"/>
    </w:pPr>
    <w:rPr>
      <w:szCs w:val="20"/>
    </w:rPr>
  </w:style>
  <w:style w:type="paragraph" w:customStyle="1" w:styleId="15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6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61">
    <w:name w:val="style11"/>
    <w:qFormat/>
    <w:uiPriority w:val="0"/>
    <w:rPr>
      <w:b/>
      <w:bCs/>
      <w:color w:val="FF0000"/>
    </w:rPr>
  </w:style>
  <w:style w:type="character" w:customStyle="1" w:styleId="162">
    <w:name w:val="info"/>
    <w:basedOn w:val="45"/>
    <w:qFormat/>
    <w:uiPriority w:val="0"/>
  </w:style>
  <w:style w:type="paragraph" w:customStyle="1" w:styleId="163">
    <w:name w:val="样式 正文缩进 + 首行缩进:  2 字符"/>
    <w:basedOn w:val="8"/>
    <w:link w:val="164"/>
    <w:qFormat/>
    <w:uiPriority w:val="0"/>
    <w:pPr>
      <w:spacing w:line="360" w:lineRule="auto"/>
      <w:ind w:firstLine="480"/>
    </w:pPr>
    <w:rPr>
      <w:rFonts w:ascii="宋体" w:hAnsi="宋体"/>
      <w:color w:val="000000"/>
      <w:kern w:val="0"/>
      <w:sz w:val="24"/>
      <w:szCs w:val="20"/>
    </w:rPr>
  </w:style>
  <w:style w:type="character" w:customStyle="1" w:styleId="164">
    <w:name w:val="样式 正文缩进 + 首行缩进:  2 字符 Char"/>
    <w:link w:val="163"/>
    <w:qFormat/>
    <w:locked/>
    <w:uiPriority w:val="0"/>
    <w:rPr>
      <w:rFonts w:ascii="宋体" w:hAnsi="宋体" w:eastAsia="宋体"/>
      <w:color w:val="000000"/>
      <w:sz w:val="24"/>
      <w:lang w:bidi="ar-SA"/>
    </w:rPr>
  </w:style>
  <w:style w:type="paragraph" w:customStyle="1" w:styleId="165">
    <w:name w:val="正文2"/>
    <w:basedOn w:val="1"/>
    <w:link w:val="166"/>
    <w:qFormat/>
    <w:uiPriority w:val="0"/>
    <w:pPr>
      <w:spacing w:before="156" w:line="360" w:lineRule="auto"/>
      <w:ind w:firstLine="510" w:firstLineChars="200"/>
    </w:pPr>
    <w:rPr>
      <w:sz w:val="24"/>
      <w:szCs w:val="20"/>
    </w:rPr>
  </w:style>
  <w:style w:type="character" w:customStyle="1" w:styleId="166">
    <w:name w:val="正文2 Char"/>
    <w:link w:val="165"/>
    <w:qFormat/>
    <w:uiPriority w:val="0"/>
    <w:rPr>
      <w:rFonts w:eastAsia="宋体"/>
      <w:kern w:val="2"/>
      <w:sz w:val="24"/>
      <w:lang w:val="en-US" w:eastAsia="zh-CN" w:bidi="ar-SA"/>
    </w:rPr>
  </w:style>
  <w:style w:type="paragraph" w:customStyle="1" w:styleId="167">
    <w:name w:val="p0"/>
    <w:basedOn w:val="1"/>
    <w:qFormat/>
    <w:uiPriority w:val="0"/>
    <w:pPr>
      <w:widowControl/>
    </w:pPr>
    <w:rPr>
      <w:kern w:val="0"/>
      <w:szCs w:val="21"/>
    </w:rPr>
  </w:style>
  <w:style w:type="character" w:customStyle="1" w:styleId="168">
    <w:name w:val="param-name"/>
    <w:basedOn w:val="45"/>
    <w:qFormat/>
    <w:uiPriority w:val="0"/>
  </w:style>
  <w:style w:type="character" w:customStyle="1" w:styleId="169">
    <w:name w:val="日期 Char"/>
    <w:qFormat/>
    <w:uiPriority w:val="0"/>
    <w:rPr>
      <w:rFonts w:ascii="楷体_GB2312" w:eastAsia="楷体_GB2312"/>
      <w:b/>
      <w:kern w:val="2"/>
      <w:sz w:val="28"/>
      <w:lang w:val="en-US" w:eastAsia="zh-CN" w:bidi="ar-SA"/>
    </w:rPr>
  </w:style>
  <w:style w:type="character" w:customStyle="1" w:styleId="170">
    <w:name w:val="标题 4 Char"/>
    <w:qFormat/>
    <w:uiPriority w:val="0"/>
    <w:rPr>
      <w:rFonts w:ascii="Arial" w:hAnsi="Arial" w:eastAsia="黑体"/>
      <w:b/>
      <w:kern w:val="2"/>
      <w:sz w:val="28"/>
      <w:lang w:val="en-US" w:eastAsia="zh-CN" w:bidi="ar-SA"/>
    </w:rPr>
  </w:style>
  <w:style w:type="character" w:customStyle="1" w:styleId="171">
    <w:name w:val="标题 6 Char"/>
    <w:qFormat/>
    <w:uiPriority w:val="0"/>
    <w:rPr>
      <w:rFonts w:ascii="宋体" w:hAnsi="Arial" w:eastAsia="宋体"/>
      <w:sz w:val="24"/>
      <w:lang w:val="en-US" w:eastAsia="zh-CN" w:bidi="ar-SA"/>
    </w:rPr>
  </w:style>
  <w:style w:type="character" w:customStyle="1" w:styleId="172">
    <w:name w:val="标题 8 Char"/>
    <w:qFormat/>
    <w:uiPriority w:val="0"/>
    <w:rPr>
      <w:rFonts w:ascii="Arial" w:hAnsi="Arial" w:eastAsia="黑体"/>
      <w:sz w:val="24"/>
      <w:lang w:val="en-US" w:eastAsia="zh-CN" w:bidi="ar-SA"/>
    </w:rPr>
  </w:style>
  <w:style w:type="character" w:customStyle="1" w:styleId="173">
    <w:name w:val="标题 9 Char"/>
    <w:qFormat/>
    <w:uiPriority w:val="0"/>
    <w:rPr>
      <w:rFonts w:ascii="Arial" w:hAnsi="Arial" w:eastAsia="黑体"/>
      <w:sz w:val="24"/>
      <w:lang w:val="en-US" w:eastAsia="zh-CN" w:bidi="ar-SA"/>
    </w:rPr>
  </w:style>
  <w:style w:type="character" w:customStyle="1" w:styleId="174">
    <w:name w:val="标题 5 Char"/>
    <w:qFormat/>
    <w:uiPriority w:val="0"/>
    <w:rPr>
      <w:rFonts w:eastAsia="宋体"/>
      <w:sz w:val="24"/>
      <w:lang w:val="en-US" w:eastAsia="zh-CN" w:bidi="ar-SA"/>
    </w:rPr>
  </w:style>
  <w:style w:type="character" w:customStyle="1" w:styleId="175">
    <w:name w:val="正文文本缩进 2 Char"/>
    <w:qFormat/>
    <w:locked/>
    <w:uiPriority w:val="0"/>
    <w:rPr>
      <w:rFonts w:eastAsia="宋体"/>
      <w:kern w:val="2"/>
      <w:sz w:val="21"/>
      <w:szCs w:val="24"/>
      <w:lang w:val="en-US" w:eastAsia="zh-CN" w:bidi="ar-SA"/>
    </w:rPr>
  </w:style>
  <w:style w:type="character" w:customStyle="1" w:styleId="176">
    <w:name w:val="正文文本 2 Char"/>
    <w:qFormat/>
    <w:uiPriority w:val="0"/>
    <w:rPr>
      <w:rFonts w:ascii="隶书" w:eastAsia="隶书"/>
      <w:bCs/>
      <w:sz w:val="72"/>
      <w:szCs w:val="84"/>
      <w:lang w:val="en-US" w:eastAsia="zh-CN" w:bidi="ar-SA"/>
    </w:rPr>
  </w:style>
  <w:style w:type="character" w:customStyle="1" w:styleId="177">
    <w:name w:val="标题 7 Char"/>
    <w:qFormat/>
    <w:uiPriority w:val="0"/>
    <w:rPr>
      <w:rFonts w:ascii="宋体" w:hAnsi="Arial" w:eastAsia="宋体"/>
      <w:b/>
      <w:sz w:val="24"/>
      <w:lang w:val="en-US" w:eastAsia="zh-CN" w:bidi="ar-SA"/>
    </w:rPr>
  </w:style>
  <w:style w:type="character" w:customStyle="1" w:styleId="178">
    <w:name w:val="页眉 Char"/>
    <w:qFormat/>
    <w:uiPriority w:val="99"/>
    <w:rPr>
      <w:rFonts w:eastAsia="宋体"/>
      <w:kern w:val="2"/>
      <w:sz w:val="18"/>
      <w:szCs w:val="18"/>
      <w:lang w:val="en-US" w:eastAsia="zh-CN" w:bidi="ar-SA"/>
    </w:rPr>
  </w:style>
  <w:style w:type="character" w:customStyle="1" w:styleId="179">
    <w:name w:val="汇视源正文 Char"/>
    <w:link w:val="180"/>
    <w:qFormat/>
    <w:uiPriority w:val="0"/>
    <w:rPr>
      <w:rFonts w:cs="宋体"/>
      <w:kern w:val="2"/>
      <w:sz w:val="24"/>
      <w:lang w:val="en-US" w:eastAsia="zh-CN" w:bidi="ar-SA"/>
    </w:rPr>
  </w:style>
  <w:style w:type="paragraph" w:customStyle="1" w:styleId="180">
    <w:name w:val="汇视源正文"/>
    <w:link w:val="17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81">
    <w:name w:val="样式 列表编号 + 段后: 0.5 行"/>
    <w:basedOn w:val="15"/>
    <w:qFormat/>
    <w:uiPriority w:val="0"/>
    <w:pPr>
      <w:tabs>
        <w:tab w:val="left" w:pos="840"/>
      </w:tabs>
      <w:spacing w:afterLines="0"/>
      <w:ind w:left="425" w:hanging="425"/>
    </w:pPr>
    <w:rPr>
      <w:rFonts w:cs="宋体"/>
    </w:rPr>
  </w:style>
  <w:style w:type="paragraph" w:customStyle="1" w:styleId="18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8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84">
    <w:name w:val="Date Char"/>
    <w:qFormat/>
    <w:locked/>
    <w:uiPriority w:val="0"/>
    <w:rPr>
      <w:rFonts w:ascii="宋体"/>
      <w:sz w:val="21"/>
      <w:lang w:val="zh-CN"/>
    </w:rPr>
  </w:style>
  <w:style w:type="character" w:customStyle="1" w:styleId="185">
    <w:name w:val="Normal Indent Char"/>
    <w:qFormat/>
    <w:locked/>
    <w:uiPriority w:val="0"/>
    <w:rPr>
      <w:rFonts w:ascii="宋体" w:eastAsia="宋体"/>
      <w:snapToGrid w:val="0"/>
      <w:color w:val="000000"/>
      <w:kern w:val="28"/>
      <w:sz w:val="28"/>
    </w:rPr>
  </w:style>
  <w:style w:type="character" w:customStyle="1" w:styleId="186">
    <w:name w:val="Plain Text Char"/>
    <w:qFormat/>
    <w:locked/>
    <w:uiPriority w:val="0"/>
    <w:rPr>
      <w:rFonts w:ascii="宋体" w:hAnsi="Courier New" w:eastAsia="宋体"/>
      <w:snapToGrid w:val="0"/>
      <w:sz w:val="21"/>
    </w:rPr>
  </w:style>
  <w:style w:type="character" w:customStyle="1" w:styleId="187">
    <w:name w:val="日期 Char1"/>
    <w:qFormat/>
    <w:uiPriority w:val="0"/>
    <w:rPr>
      <w:rFonts w:ascii="Times New Roman" w:hAnsi="Times New Roman" w:eastAsia="宋体" w:cs="Times New Roman"/>
      <w:sz w:val="24"/>
      <w:szCs w:val="24"/>
    </w:rPr>
  </w:style>
  <w:style w:type="character" w:customStyle="1" w:styleId="188">
    <w:name w:val="纯文本 Char1"/>
    <w:link w:val="189"/>
    <w:qFormat/>
    <w:uiPriority w:val="0"/>
    <w:rPr>
      <w:rFonts w:ascii="宋体" w:hAnsi="Courier New" w:eastAsia="宋体" w:cs="Courier New"/>
      <w:sz w:val="21"/>
      <w:szCs w:val="21"/>
    </w:rPr>
  </w:style>
  <w:style w:type="paragraph" w:customStyle="1" w:styleId="189">
    <w:name w:val="纯文本1"/>
    <w:basedOn w:val="1"/>
    <w:link w:val="188"/>
    <w:qFormat/>
    <w:uiPriority w:val="0"/>
    <w:rPr>
      <w:rFonts w:ascii="宋体" w:hAnsi="Courier New" w:cs="Courier New"/>
      <w:kern w:val="0"/>
      <w:szCs w:val="21"/>
    </w:rPr>
  </w:style>
  <w:style w:type="paragraph" w:customStyle="1" w:styleId="19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91">
    <w:name w:val="列出段落112"/>
    <w:basedOn w:val="1"/>
    <w:link w:val="192"/>
    <w:qFormat/>
    <w:uiPriority w:val="0"/>
    <w:pPr>
      <w:adjustRightInd w:val="0"/>
      <w:spacing w:line="360" w:lineRule="auto"/>
      <w:ind w:firstLine="200" w:firstLineChars="200"/>
    </w:pPr>
    <w:rPr>
      <w:rFonts w:eastAsia="楷体_GB2312" w:cs="Lucida Sans"/>
      <w:sz w:val="24"/>
    </w:rPr>
  </w:style>
  <w:style w:type="character" w:customStyle="1" w:styleId="192">
    <w:name w:val="列出段落 Char"/>
    <w:link w:val="191"/>
    <w:qFormat/>
    <w:uiPriority w:val="0"/>
    <w:rPr>
      <w:rFonts w:eastAsia="楷体_GB2312" w:cs="Lucida Sans"/>
      <w:kern w:val="2"/>
      <w:sz w:val="24"/>
      <w:szCs w:val="24"/>
    </w:rPr>
  </w:style>
  <w:style w:type="paragraph" w:customStyle="1" w:styleId="193">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9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95">
    <w:name w:val="Header Char"/>
    <w:qFormat/>
    <w:locked/>
    <w:uiPriority w:val="0"/>
    <w:rPr>
      <w:rFonts w:ascii="Times New Roman" w:hAnsi="Times New Roman" w:eastAsia="宋体" w:cs="Times New Roman"/>
      <w:sz w:val="18"/>
      <w:szCs w:val="18"/>
    </w:rPr>
  </w:style>
  <w:style w:type="paragraph" w:customStyle="1" w:styleId="19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8">
    <w:name w:val="Comment Text Char"/>
    <w:qFormat/>
    <w:locked/>
    <w:uiPriority w:val="0"/>
    <w:rPr>
      <w:rFonts w:ascii="Times New Roman" w:hAnsi="Times New Roman" w:eastAsia="宋体" w:cs="Times New Roman"/>
      <w:kern w:val="0"/>
      <w:sz w:val="24"/>
      <w:szCs w:val="24"/>
      <w:lang w:val="zh-CN" w:eastAsia="zh-CN"/>
    </w:rPr>
  </w:style>
  <w:style w:type="paragraph" w:customStyle="1" w:styleId="19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0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01">
    <w:name w:val="Char Char Char Char1"/>
    <w:basedOn w:val="1"/>
    <w:qFormat/>
    <w:uiPriority w:val="0"/>
    <w:rPr>
      <w:rFonts w:ascii="Tahoma" w:hAnsi="Tahoma"/>
      <w:sz w:val="24"/>
      <w:szCs w:val="20"/>
    </w:rPr>
  </w:style>
  <w:style w:type="paragraph" w:customStyle="1" w:styleId="20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0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0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05">
    <w:name w:val="正文2 Char Char"/>
    <w:qFormat/>
    <w:uiPriority w:val="0"/>
    <w:rPr>
      <w:kern w:val="2"/>
      <w:sz w:val="24"/>
    </w:rPr>
  </w:style>
  <w:style w:type="character" w:customStyle="1" w:styleId="206">
    <w:name w:val="普通文字 Char Char3"/>
    <w:qFormat/>
    <w:uiPriority w:val="0"/>
    <w:rPr>
      <w:rFonts w:ascii="宋体" w:hAnsi="Courier New"/>
      <w:kern w:val="2"/>
      <w:sz w:val="24"/>
      <w:szCs w:val="24"/>
    </w:rPr>
  </w:style>
  <w:style w:type="character" w:customStyle="1" w:styleId="207">
    <w:name w:val="特点 Char2"/>
    <w:qFormat/>
    <w:uiPriority w:val="0"/>
    <w:rPr>
      <w:rFonts w:ascii="Times New Roman" w:hAnsi="Times New Roman" w:eastAsia="宋体" w:cs="Times New Roman"/>
      <w:szCs w:val="24"/>
    </w:rPr>
  </w:style>
  <w:style w:type="paragraph" w:customStyle="1" w:styleId="208">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9">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paragraph" w:customStyle="1" w:styleId="210">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1">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2">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3">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4">
    <w:name w:val="正文缩进2格"/>
    <w:basedOn w:val="1"/>
    <w:link w:val="215"/>
    <w:qFormat/>
    <w:uiPriority w:val="0"/>
    <w:pPr>
      <w:spacing w:line="600" w:lineRule="exact"/>
      <w:ind w:firstLine="639" w:firstLineChars="206"/>
    </w:pPr>
    <w:rPr>
      <w:rFonts w:ascii="仿宋_GB2312" w:hAnsi="宋体" w:eastAsia="仿宋_GB2312"/>
      <w:kern w:val="0"/>
      <w:sz w:val="31"/>
      <w:szCs w:val="20"/>
    </w:rPr>
  </w:style>
  <w:style w:type="character" w:customStyle="1" w:styleId="215">
    <w:name w:val="正文缩进2格 Char"/>
    <w:link w:val="214"/>
    <w:qFormat/>
    <w:uiPriority w:val="0"/>
    <w:rPr>
      <w:rFonts w:ascii="仿宋_GB2312" w:hAnsi="宋体" w:eastAsia="仿宋_GB2312"/>
      <w:sz w:val="31"/>
    </w:rPr>
  </w:style>
  <w:style w:type="paragraph" w:customStyle="1" w:styleId="216">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7">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8">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9">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2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4">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正文1级"/>
    <w:link w:val="255"/>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5">
    <w:name w:val="正文1级 Char Char"/>
    <w:link w:val="254"/>
    <w:qFormat/>
    <w:uiPriority w:val="0"/>
    <w:rPr>
      <w:bCs/>
      <w:kern w:val="44"/>
      <w:sz w:val="24"/>
      <w:szCs w:val="44"/>
    </w:rPr>
  </w:style>
  <w:style w:type="character" w:customStyle="1" w:styleId="256">
    <w:name w:val="Char Char1"/>
    <w:qFormat/>
    <w:uiPriority w:val="0"/>
    <w:rPr>
      <w:rFonts w:ascii="宋体" w:hAnsi="Courier New" w:eastAsia="宋体"/>
      <w:kern w:val="2"/>
      <w:sz w:val="21"/>
      <w:lang w:val="en-US" w:eastAsia="zh-CN" w:bidi="ar-SA"/>
    </w:rPr>
  </w:style>
  <w:style w:type="paragraph" w:customStyle="1" w:styleId="257">
    <w:name w:val="列出段落2"/>
    <w:basedOn w:val="1"/>
    <w:qFormat/>
    <w:uiPriority w:val="34"/>
    <w:pPr>
      <w:spacing w:line="440" w:lineRule="exact"/>
      <w:ind w:firstLine="420" w:firstLineChars="200"/>
    </w:pPr>
    <w:rPr>
      <w:rFonts w:eastAsia="仿宋_GB2312"/>
      <w:sz w:val="24"/>
    </w:rPr>
  </w:style>
  <w:style w:type="paragraph" w:customStyle="1" w:styleId="258">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9">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列出段落21"/>
    <w:basedOn w:val="1"/>
    <w:qFormat/>
    <w:uiPriority w:val="0"/>
    <w:pPr>
      <w:ind w:firstLine="420" w:firstLineChars="200"/>
    </w:pPr>
    <w:rPr>
      <w:rFonts w:ascii="Calibri" w:hAnsi="Calibri"/>
      <w:szCs w:val="22"/>
    </w:rPr>
  </w:style>
  <w:style w:type="paragraph" w:customStyle="1" w:styleId="26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3">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6">
    <w:name w:val="_Style 151"/>
    <w:basedOn w:val="1"/>
    <w:qFormat/>
    <w:uiPriority w:val="0"/>
    <w:rPr>
      <w:rFonts w:ascii="Tahoma" w:hAnsi="Tahoma"/>
      <w:sz w:val="24"/>
      <w:szCs w:val="20"/>
    </w:rPr>
  </w:style>
  <w:style w:type="paragraph" w:customStyle="1" w:styleId="267">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8">
    <w:name w:val="font01"/>
    <w:basedOn w:val="45"/>
    <w:qFormat/>
    <w:uiPriority w:val="0"/>
    <w:rPr>
      <w:rFonts w:hint="eastAsia" w:ascii="宋体" w:hAnsi="宋体" w:eastAsia="宋体" w:cs="宋体"/>
      <w:color w:val="000000"/>
      <w:sz w:val="22"/>
      <w:szCs w:val="22"/>
      <w:u w:val="none"/>
    </w:rPr>
  </w:style>
  <w:style w:type="character" w:customStyle="1" w:styleId="269">
    <w:name w:val="font11"/>
    <w:basedOn w:val="45"/>
    <w:qFormat/>
    <w:uiPriority w:val="0"/>
    <w:rPr>
      <w:rFonts w:hint="eastAsia" w:ascii="宋体" w:hAnsi="宋体" w:eastAsia="宋体" w:cs="宋体"/>
      <w:color w:val="FF0000"/>
      <w:sz w:val="22"/>
      <w:szCs w:val="22"/>
      <w:u w:val="none"/>
    </w:rPr>
  </w:style>
  <w:style w:type="character" w:customStyle="1" w:styleId="270">
    <w:name w:val="font41"/>
    <w:basedOn w:val="45"/>
    <w:qFormat/>
    <w:uiPriority w:val="0"/>
    <w:rPr>
      <w:rFonts w:hint="default" w:ascii="等线" w:hAnsi="等线" w:eastAsia="等线" w:cs="等线"/>
      <w:color w:val="FF0000"/>
      <w:sz w:val="22"/>
      <w:szCs w:val="22"/>
      <w:u w:val="none"/>
    </w:rPr>
  </w:style>
  <w:style w:type="character" w:customStyle="1" w:styleId="271">
    <w:name w:val="font21"/>
    <w:basedOn w:val="45"/>
    <w:qFormat/>
    <w:uiPriority w:val="0"/>
    <w:rPr>
      <w:rFonts w:hint="default" w:ascii="等线" w:hAnsi="等线" w:eastAsia="等线" w:cs="等线"/>
      <w:color w:val="000000"/>
      <w:sz w:val="22"/>
      <w:szCs w:val="22"/>
      <w:u w:val="none"/>
    </w:rPr>
  </w:style>
  <w:style w:type="character" w:customStyle="1" w:styleId="272">
    <w:name w:val="font51"/>
    <w:basedOn w:val="45"/>
    <w:qFormat/>
    <w:uiPriority w:val="0"/>
    <w:rPr>
      <w:rFonts w:hint="default" w:ascii="等线" w:hAnsi="等线" w:eastAsia="等线" w:cs="等线"/>
      <w:color w:val="FF0000"/>
      <w:sz w:val="22"/>
      <w:szCs w:val="22"/>
      <w:u w:val="none"/>
    </w:rPr>
  </w:style>
  <w:style w:type="character" w:customStyle="1" w:styleId="273">
    <w:name w:val="font61"/>
    <w:basedOn w:val="45"/>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5"/>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5"/>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character" w:customStyle="1" w:styleId="288">
    <w:name w:val="font31"/>
    <w:qFormat/>
    <w:uiPriority w:val="0"/>
    <w:rPr>
      <w:rFonts w:hint="eastAsia" w:ascii="仿宋" w:hAnsi="仿宋" w:eastAsia="仿宋" w:cs="仿宋"/>
      <w:color w:val="FF0000"/>
      <w:sz w:val="22"/>
      <w:szCs w:val="22"/>
      <w:u w:val="none"/>
    </w:rPr>
  </w:style>
  <w:style w:type="paragraph" w:customStyle="1" w:styleId="289">
    <w:name w:val="修订2"/>
    <w:unhideWhenUsed/>
    <w:qFormat/>
    <w:uiPriority w:val="99"/>
    <w:rPr>
      <w:rFonts w:ascii="Times New Roman" w:hAnsi="Times New Roman" w:eastAsia="宋体" w:cs="Times New Roman"/>
      <w:kern w:val="2"/>
      <w:sz w:val="21"/>
      <w:szCs w:val="24"/>
      <w:lang w:val="en-US" w:eastAsia="zh-CN" w:bidi="ar-SA"/>
    </w:rPr>
  </w:style>
  <w:style w:type="character" w:customStyle="1" w:styleId="290">
    <w:name w:val="正文缩进 Char1"/>
    <w:qFormat/>
    <w:uiPriority w:val="0"/>
    <w:rPr>
      <w:rFonts w:ascii="Times New Roman" w:hAnsi="Times New Roman" w:eastAsia="宋体" w:cs="Times New Roman"/>
      <w:szCs w:val="20"/>
    </w:rPr>
  </w:style>
  <w:style w:type="character" w:customStyle="1" w:styleId="291">
    <w:name w:val="纯文本 Char2"/>
    <w:qFormat/>
    <w:uiPriority w:val="0"/>
    <w:rPr>
      <w:rFonts w:ascii="宋体" w:hAnsi="Courier New" w:eastAsia="宋体" w:cs="Times New Roman"/>
      <w:szCs w:val="21"/>
    </w:rPr>
  </w:style>
  <w:style w:type="paragraph" w:customStyle="1" w:styleId="292">
    <w:name w:val="方案正文"/>
    <w:basedOn w:val="1"/>
    <w:qFormat/>
    <w:uiPriority w:val="0"/>
    <w:pPr>
      <w:spacing w:before="120" w:line="360" w:lineRule="auto"/>
      <w:ind w:firstLine="425" w:firstLineChars="177"/>
    </w:pPr>
    <w:rPr>
      <w:rFonts w:ascii="华文细黑" w:hAnsi="华文细黑" w:eastAsia="华文细黑"/>
      <w:kern w:val="0"/>
      <w:sz w:val="24"/>
    </w:rPr>
  </w:style>
  <w:style w:type="paragraph" w:customStyle="1" w:styleId="293">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46072</Words>
  <Characters>49622</Characters>
  <Lines>432</Lines>
  <Paragraphs>121</Paragraphs>
  <TotalTime>8</TotalTime>
  <ScaleCrop>false</ScaleCrop>
  <LinksUpToDate>false</LinksUpToDate>
  <CharactersWithSpaces>53851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2022-09-06T07:09:00Z</dcterms:created>
  <dc:creator>USER</dc:creator>
  <cp:lastModifiedBy>WW</cp:lastModifiedBy>
  <cp:lastPrinted>2022-07-04T09:53:00Z</cp:lastPrinted>
  <dcterms:modified xsi:type="dcterms:W3CDTF">2023-06-02T04:21:18Z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B9971E9030134052AC0F3C6EE2AF7498</vt:lpwstr>
  </property>
</Properties>
</file>